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jc w:val="center"/>
        <w:rPr>
          <w:rFonts w:ascii="Verdana" w:hAnsi="Verdana" w:cs="Arial"/>
          <w:b/>
          <w:bCs/>
          <w:color w:val="000000"/>
          <w:sz w:val="22"/>
          <w:szCs w:val="22"/>
          <w:u w:val="single"/>
        </w:rPr>
      </w:pPr>
      <w:r>
        <w:rPr>
          <w:rFonts w:cs="Arial" w:ascii="Verdana" w:hAnsi="Verdana"/>
          <w:b/>
          <w:bCs/>
          <w:color w:val="000000"/>
          <w:sz w:val="22"/>
          <w:szCs w:val="22"/>
          <w:u w:val="single"/>
        </w:rPr>
      </w:r>
    </w:p>
    <w:p>
      <w:pPr>
        <w:pStyle w:val="Normal"/>
        <w:spacing w:lineRule="auto" w:line="360"/>
        <w:jc w:val="center"/>
        <w:rPr/>
      </w:pPr>
      <w:r>
        <w:rPr>
          <w:rFonts w:cs="Arial" w:ascii="Verdana" w:hAnsi="Verdana"/>
          <w:b/>
          <w:bCs/>
          <w:color w:val="000000"/>
          <w:sz w:val="22"/>
          <w:szCs w:val="22"/>
          <w:u w:val="single"/>
        </w:rPr>
        <w:t>TERMO DE REFERÊNCIA  - LEI 14.133/21  de 01 de abril de 2021</w:t>
      </w:r>
    </w:p>
    <w:p>
      <w:pPr>
        <w:pStyle w:val="Normal"/>
        <w:spacing w:lineRule="auto" w:line="360"/>
        <w:jc w:val="center"/>
        <w:rPr>
          <w:rFonts w:ascii="Verdana" w:hAnsi="Verdana" w:cs="Arial"/>
          <w:b/>
          <w:bCs/>
          <w:color w:val="000000"/>
          <w:sz w:val="22"/>
          <w:szCs w:val="22"/>
          <w:u w:val="single"/>
        </w:rPr>
      </w:pPr>
      <w:r>
        <w:rPr>
          <w:rFonts w:cs="Arial" w:ascii="Verdana" w:hAnsi="Verdana"/>
          <w:b/>
          <w:bCs/>
          <w:color w:val="000000"/>
          <w:sz w:val="22"/>
          <w:szCs w:val="22"/>
          <w:u w:val="single"/>
        </w:rPr>
      </w:r>
    </w:p>
    <w:p>
      <w:pPr>
        <w:pStyle w:val="Normal"/>
        <w:spacing w:lineRule="auto" w:line="360"/>
        <w:jc w:val="center"/>
        <w:rPr/>
      </w:pPr>
      <w:r>
        <w:rPr>
          <w:rFonts w:eastAsia="Times New Roman" w:cs="Times New Roman" w:ascii="Verdana" w:hAnsi="Verdana"/>
          <w:b/>
          <w:bCs/>
          <w:iCs/>
          <w:color w:val="000000"/>
          <w:kern w:val="0"/>
          <w:sz w:val="22"/>
          <w:szCs w:val="22"/>
          <w:u w:val="none"/>
          <w:lang w:val="pt-BR" w:eastAsia="pt-BR" w:bidi="ar-SA"/>
        </w:rPr>
        <w:t>REGISTRO DE PREÇOS – CONFECÇÃO DE UNIFORMES PARA SERVIDORES DA SECRETARIA MUNICIPAL DE EDUCAÇÃO</w:t>
      </w:r>
    </w:p>
    <w:p>
      <w:pPr>
        <w:pStyle w:val="Normal"/>
        <w:spacing w:lineRule="auto" w:line="360"/>
        <w:jc w:val="center"/>
        <w:rPr>
          <w:rFonts w:ascii="Verdana" w:hAnsi="Verdana" w:eastAsia="Times New Roman" w:cs="Times New Roman"/>
          <w:b/>
          <w:bCs/>
          <w:iCs/>
          <w:color w:val="000000"/>
          <w:kern w:val="0"/>
          <w:sz w:val="22"/>
          <w:szCs w:val="22"/>
          <w:u w:val="none"/>
          <w:lang w:val="pt-BR" w:eastAsia="pt-BR" w:bidi="ar-SA"/>
        </w:rPr>
      </w:pPr>
      <w:r>
        <w:rPr>
          <w:rFonts w:eastAsia="Times New Roman" w:cs="Times New Roman" w:ascii="Verdana" w:hAnsi="Verdana"/>
          <w:b/>
          <w:bCs/>
          <w:iCs/>
          <w:color w:val="000000"/>
          <w:kern w:val="0"/>
          <w:sz w:val="22"/>
          <w:szCs w:val="22"/>
          <w:u w:val="none"/>
          <w:lang w:val="pt-BR" w:eastAsia="pt-BR" w:bidi="ar-SA"/>
        </w:rPr>
      </w:r>
    </w:p>
    <w:p>
      <w:pPr>
        <w:pStyle w:val="Normal"/>
        <w:spacing w:lineRule="auto" w:line="360"/>
        <w:jc w:val="center"/>
        <w:rPr/>
      </w:pPr>
      <w:r>
        <w:rPr>
          <w:rFonts w:cs="Arial" w:ascii="Verdana" w:hAnsi="Verdana"/>
          <w:b/>
          <w:bCs/>
          <w:iCs/>
          <w:color w:val="000000"/>
          <w:sz w:val="22"/>
          <w:szCs w:val="22"/>
        </w:rPr>
        <w:t xml:space="preserve">Processo Administrativo nº </w:t>
      </w:r>
      <w:r>
        <w:rPr>
          <w:rFonts w:eastAsia="Times New Roman" w:cs="Times New Roman" w:ascii="Verdana" w:hAnsi="Verdana"/>
          <w:b/>
          <w:bCs/>
          <w:iCs/>
          <w:color w:val="000000"/>
          <w:sz w:val="22"/>
          <w:szCs w:val="22"/>
        </w:rPr>
        <w:t>003267</w:t>
      </w:r>
      <w:r>
        <w:rPr>
          <w:rFonts w:cs="Arial" w:ascii="Verdana" w:hAnsi="Verdana"/>
          <w:b/>
          <w:bCs/>
          <w:iCs/>
          <w:color w:val="000000"/>
          <w:sz w:val="22"/>
          <w:szCs w:val="22"/>
        </w:rPr>
        <w:t>/2024 de 02 de maio de 2025 (</w:t>
      </w:r>
      <w:r>
        <w:rPr>
          <w:rFonts w:eastAsia="Times New Roman" w:cs="Arial" w:ascii="Verdana" w:hAnsi="Verdana"/>
          <w:b/>
          <w:bCs/>
          <w:iCs/>
          <w:color w:val="000000"/>
          <w:kern w:val="0"/>
          <w:sz w:val="22"/>
          <w:szCs w:val="22"/>
          <w:lang w:val="pt-BR" w:eastAsia="pt-BR" w:bidi="ar-SA"/>
        </w:rPr>
        <w:t>Secretaria Municipal de Educação</w:t>
      </w:r>
      <w:r>
        <w:rPr>
          <w:rFonts w:cs="Arial" w:ascii="Verdana" w:hAnsi="Verdana"/>
          <w:b/>
          <w:bCs/>
          <w:iCs/>
          <w:color w:val="000000"/>
          <w:sz w:val="22"/>
          <w:szCs w:val="22"/>
        </w:rPr>
        <w:t>)</w:t>
      </w:r>
    </w:p>
    <w:p>
      <w:pPr>
        <w:pStyle w:val="Normal"/>
        <w:spacing w:lineRule="auto" w:line="360"/>
        <w:jc w:val="center"/>
        <w:rPr>
          <w:rFonts w:ascii="Verdana" w:hAnsi="Verdana" w:cs="Arial"/>
          <w:b/>
          <w:bCs/>
          <w:iCs/>
          <w:color w:val="000000"/>
          <w:sz w:val="22"/>
          <w:szCs w:val="22"/>
        </w:rPr>
      </w:pPr>
      <w:r>
        <w:rPr>
          <w:rFonts w:cs="Arial" w:ascii="Verdana" w:hAnsi="Verdana"/>
          <w:b/>
          <w:bCs/>
          <w:iCs/>
          <w:color w:val="000000"/>
          <w:sz w:val="22"/>
          <w:szCs w:val="22"/>
        </w:rPr>
      </w:r>
    </w:p>
    <w:p>
      <w:pPr>
        <w:pStyle w:val="Normal"/>
        <w:spacing w:lineRule="auto" w:line="360"/>
        <w:ind w:hanging="0" w:left="0" w:right="0"/>
        <w:jc w:val="both"/>
        <w:rPr/>
      </w:pPr>
      <w:r>
        <w:rPr>
          <w:rFonts w:ascii="Verdana" w:hAnsi="Verdana"/>
          <w:b/>
          <w:bCs/>
          <w:sz w:val="22"/>
          <w:szCs w:val="22"/>
        </w:rPr>
        <w:t xml:space="preserve">1. DAS CONDIÇÕES GERAIS DA CONTRATAÇÃO </w:t>
      </w:r>
    </w:p>
    <w:p>
      <w:pPr>
        <w:pStyle w:val="Normal"/>
        <w:tabs>
          <w:tab w:val="clear" w:pos="708"/>
          <w:tab w:val="left" w:pos="567" w:leader="none"/>
        </w:tabs>
        <w:spacing w:lineRule="auto" w:line="360"/>
        <w:ind w:hanging="0" w:right="0"/>
        <w:jc w:val="both"/>
        <w:rPr/>
      </w:pPr>
      <w:r>
        <w:rPr>
          <w:rFonts w:ascii="Verdana" w:hAnsi="Verdana"/>
          <w:b w:val="false"/>
          <w:bCs w:val="false"/>
          <w:sz w:val="22"/>
          <w:szCs w:val="22"/>
        </w:rPr>
        <w:t xml:space="preserve">1.1. Registro de preços </w:t>
      </w:r>
      <w:r>
        <w:rPr>
          <w:rFonts w:eastAsia="Times New Roman" w:cs="Arial" w:ascii="Verdana" w:hAnsi="Verdana"/>
          <w:bCs/>
          <w:iCs/>
          <w:sz w:val="22"/>
          <w:szCs w:val="22"/>
        </w:rPr>
        <w:t xml:space="preserve">para futura e eventual contratação de empresa especializada na confecção de uniformes/camisetas para os servidores lotados na Secretaria Municipal de Educação, </w:t>
      </w:r>
      <w:r>
        <w:rPr>
          <w:rFonts w:eastAsia="Arial" w:cs="Arial" w:ascii="Verdana" w:hAnsi="Verdana"/>
          <w:b w:val="false"/>
          <w:bCs w:val="false"/>
          <w:iCs/>
          <w:sz w:val="22"/>
          <w:szCs w:val="22"/>
        </w:rPr>
        <w:t>devidamente relacionados e especificados,</w:t>
      </w:r>
      <w:r>
        <w:rPr>
          <w:rFonts w:eastAsia="Times New Roman" w:cs="Arial" w:ascii="Verdana" w:hAnsi="Verdana"/>
          <w:b w:val="false"/>
          <w:bCs w:val="false"/>
          <w:iCs/>
          <w:sz w:val="22"/>
          <w:szCs w:val="22"/>
        </w:rPr>
        <w:t xml:space="preserve"> </w:t>
      </w:r>
      <w:r>
        <w:rPr>
          <w:rFonts w:ascii="Verdana" w:hAnsi="Verdana"/>
          <w:b w:val="false"/>
          <w:bCs w:val="false"/>
          <w:iCs/>
          <w:sz w:val="22"/>
          <w:szCs w:val="22"/>
        </w:rPr>
        <w:t>nos termos da tabela abaixo, conforme co</w:t>
      </w:r>
      <w:r>
        <w:rPr>
          <w:rFonts w:ascii="Verdana" w:hAnsi="Verdana"/>
          <w:iCs/>
          <w:sz w:val="22"/>
          <w:szCs w:val="22"/>
        </w:rPr>
        <w:t>ndições e exigências estabelecidas neste instrumento e no ET.</w:t>
      </w:r>
    </w:p>
    <w:p>
      <w:pPr>
        <w:pStyle w:val="Normal"/>
        <w:tabs>
          <w:tab w:val="clear" w:pos="708"/>
          <w:tab w:val="left" w:pos="567" w:leader="none"/>
        </w:tabs>
        <w:spacing w:lineRule="auto" w:line="360"/>
        <w:ind w:hanging="0" w:right="0"/>
        <w:jc w:val="both"/>
        <w:rPr>
          <w:rFonts w:ascii="Verdana" w:hAnsi="Verdana"/>
          <w:iCs/>
          <w:sz w:val="22"/>
          <w:szCs w:val="22"/>
        </w:rPr>
      </w:pPr>
      <w:r>
        <w:rPr>
          <w:rFonts w:ascii="Verdana" w:hAnsi="Verdana"/>
          <w:iCs/>
          <w:sz w:val="22"/>
          <w:szCs w:val="22"/>
        </w:rPr>
      </w:r>
    </w:p>
    <w:tbl>
      <w:tblPr>
        <w:tblW w:w="9685" w:type="dxa"/>
        <w:jc w:val="left"/>
        <w:tblInd w:w="144" w:type="dxa"/>
        <w:tblLayout w:type="fixed"/>
        <w:tblCellMar>
          <w:top w:w="0" w:type="dxa"/>
          <w:left w:w="108" w:type="dxa"/>
          <w:bottom w:w="0" w:type="dxa"/>
          <w:right w:w="108" w:type="dxa"/>
        </w:tblCellMar>
      </w:tblPr>
      <w:tblGrid>
        <w:gridCol w:w="847"/>
        <w:gridCol w:w="4429"/>
        <w:gridCol w:w="1236"/>
        <w:gridCol w:w="1393"/>
        <w:gridCol w:w="1780"/>
      </w:tblGrid>
      <w:tr>
        <w:trPr/>
        <w:tc>
          <w:tcPr>
            <w:tcW w:w="8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center"/>
              <w:rPr/>
            </w:pPr>
            <w:r>
              <w:rPr>
                <w:rFonts w:eastAsia="Times New Roman" w:cs="Times New Roman" w:ascii="Verdana" w:hAnsi="Verdana"/>
                <w:b/>
                <w:bCs/>
                <w:color w:val="auto"/>
                <w:kern w:val="0"/>
                <w:sz w:val="22"/>
                <w:szCs w:val="22"/>
                <w:lang w:val="pt-BR" w:eastAsia="pt-BR" w:bidi="ar-SA"/>
              </w:rPr>
              <w:t>Item</w:t>
            </w:r>
          </w:p>
        </w:tc>
        <w:tc>
          <w:tcPr>
            <w:tcW w:w="44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76"/>
              <w:jc w:val="center"/>
              <w:rPr>
                <w:rFonts w:ascii="Verdana" w:hAnsi="Verdana"/>
                <w:sz w:val="22"/>
                <w:szCs w:val="22"/>
              </w:rPr>
            </w:pPr>
            <w:r>
              <w:rPr>
                <w:rFonts w:ascii="Verdana" w:hAnsi="Verdana"/>
                <w:b/>
                <w:bCs/>
                <w:sz w:val="22"/>
                <w:szCs w:val="22"/>
              </w:rPr>
              <w:t>Especificação</w:t>
            </w:r>
          </w:p>
        </w:tc>
        <w:tc>
          <w:tcPr>
            <w:tcW w:w="12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center"/>
              <w:rPr/>
            </w:pPr>
            <w:r>
              <w:rPr>
                <w:rFonts w:ascii="Verdana" w:hAnsi="Verdana"/>
                <w:b/>
                <w:bCs/>
                <w:sz w:val="22"/>
                <w:szCs w:val="22"/>
              </w:rPr>
              <w:t>Und</w:t>
            </w:r>
          </w:p>
          <w:p>
            <w:pPr>
              <w:pStyle w:val="Normal"/>
              <w:widowControl w:val="false"/>
              <w:tabs>
                <w:tab w:val="clear" w:pos="708"/>
              </w:tabs>
              <w:spacing w:lineRule="auto" w:line="276"/>
              <w:jc w:val="center"/>
              <w:rPr/>
            </w:pPr>
            <w:r>
              <w:rPr>
                <w:rFonts w:ascii="Verdana" w:hAnsi="Verdana"/>
                <w:b/>
                <w:bCs/>
                <w:sz w:val="22"/>
                <w:szCs w:val="22"/>
              </w:rPr>
              <w:t>Quant.</w:t>
            </w:r>
          </w:p>
        </w:tc>
        <w:tc>
          <w:tcPr>
            <w:tcW w:w="139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76"/>
              <w:jc w:val="center"/>
              <w:rPr>
                <w:rFonts w:ascii="Verdana" w:hAnsi="Verdana"/>
                <w:sz w:val="22"/>
                <w:szCs w:val="22"/>
              </w:rPr>
            </w:pPr>
            <w:r>
              <w:rPr>
                <w:rFonts w:ascii="Verdana" w:hAnsi="Verdana"/>
                <w:b/>
                <w:bCs/>
                <w:sz w:val="22"/>
                <w:szCs w:val="22"/>
              </w:rPr>
              <w:t>Valor estimado unitário</w:t>
            </w:r>
          </w:p>
        </w:tc>
        <w:tc>
          <w:tcPr>
            <w:tcW w:w="17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76"/>
              <w:jc w:val="center"/>
              <w:rPr>
                <w:rFonts w:ascii="Verdana" w:hAnsi="Verdana"/>
                <w:sz w:val="22"/>
                <w:szCs w:val="22"/>
              </w:rPr>
            </w:pPr>
            <w:r>
              <w:rPr>
                <w:rFonts w:ascii="Verdana" w:hAnsi="Verdana"/>
                <w:b/>
                <w:bCs/>
                <w:sz w:val="22"/>
                <w:szCs w:val="22"/>
              </w:rPr>
              <w:t>Valor estimado total</w:t>
            </w:r>
          </w:p>
        </w:tc>
      </w:tr>
      <w:tr>
        <w:trPr/>
        <w:tc>
          <w:tcPr>
            <w:tcW w:w="8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b w:val="false"/>
                <w:bCs w:val="false"/>
                <w:i w:val="false"/>
                <w:iCs w:val="false"/>
                <w:sz w:val="22"/>
                <w:szCs w:val="22"/>
              </w:rPr>
              <w:t>01</w:t>
            </w:r>
          </w:p>
        </w:tc>
        <w:tc>
          <w:tcPr>
            <w:tcW w:w="4429" w:type="dxa"/>
            <w:tcBorders>
              <w:top w:val="single" w:sz="4" w:space="0" w:color="000000"/>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 royal, estampa na cor branca, com brasão do município de São Gabriel da Palha do lado esquerdo do peito e a descrição "motorista" também estampado, conforme modelo anexo: tamanho p</w:t>
            </w:r>
          </w:p>
        </w:tc>
        <w:tc>
          <w:tcPr>
            <w:tcW w:w="12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Fonts w:cs="Arial" w:ascii="Verdana" w:hAnsi="Verdana"/>
                <w:sz w:val="22"/>
                <w:szCs w:val="22"/>
              </w:rPr>
              <w:t>50 und.</w:t>
            </w:r>
          </w:p>
        </w:tc>
        <w:tc>
          <w:tcPr>
            <w:tcW w:w="13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b w:val="false"/>
                <w:bCs w:val="false"/>
                <w:i w:val="false"/>
                <w:iCs w:val="false"/>
                <w:sz w:val="22"/>
                <w:szCs w:val="22"/>
              </w:rPr>
              <w:t>02</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 royal, estampa na cor branca, com brasão do município de São Gabriel da Palha do lado esquerdo do peito e a descrição "motorista" também estampado, conforme modelo anexo: tamanho m</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cs="Arial" w:ascii="Verdana" w:hAnsi="Verdana"/>
                <w:sz w:val="22"/>
                <w:szCs w:val="22"/>
              </w:rPr>
              <w:t>100 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R$ 3.500,00</w:t>
            </w:r>
          </w:p>
        </w:tc>
      </w:tr>
      <w:tr>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03</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 royal, estampa na cor branca, com brasão do município de São Gabriel da Palha do lado esquerdo do peito e a descrição "motorista" também estampado, conforme modelo anexo: tamanho 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143"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04</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 royal, estampa na cor branca,  com brasão do município de São Gabriel da Palha do lado esquerdo do peito e a descrição "motorista" também estampado, conforme modelo anexo: tamanho 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05</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 royal, estampa na cor branca,  com brasão do município de São Gabriel da Palha do lado esquerdo do peito e a descrição "motorista" também estampado, conforme modelo anexo: tamanho xgg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06</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 royal, estampa na cor branca,  com brasão do município de São Gabriel da Palha do lado esquerdo do peito e a descrição "monitor" também estampado, conforme modelo anexo: tamanho m</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07</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 royal, estampa na cor branca,  com brasão do município de São Gabriel da Palha do lado esquerdo do peito e a descrição "monitor" também estampado, conforme modelo anexo: tamanho 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08</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 royal, estampa na cor branca,  com brasão do município de São Gabriel da Palha do lado esquerdo do peito e a descrição "monitor" também estampado, conforme modelo anexo: tamanho p</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09</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 royal, estampa na cor branca,  com brasão do município de São Gabriel da Palha do lado esquerdo do peito e a descrição "monitor" também estampado, conforme modelo anexo: tamanho m</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10</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 royal, estampa na cor branca,  com brasão do município de São Gabriel da Palha do lado esquerdo do peito e a descrição "monitor" também estampado, conforme modelo anexo: tamanho 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11</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 royal, estampa na cor branca,  com brasão do município de São Gabriel da Palha do lado esquerdo do peito e a descrição "monitor" também estampado, conforme modelo anexo: tamanho 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12</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 royal, estampa na cor branca,  com brasão do município de São Gabriel da Palha do lado esquerdo do peito e a descrição "monitor" também estampado, conforme modelo anexo: tamanho xgg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13</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p</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14</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m</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100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R$ 3.500,00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15</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16</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17</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xgg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100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R$ 3.500,00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18</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p</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19</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m</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20</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21</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22</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xgg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23</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azul-marinho, estampa na cor branca com a descrição "Educação", conforme modelo anexo: tamanho p</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100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R$ 3.500,00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24</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azul-marinho, estampa na cor branca com a descrição "Educação", conforme modelo anexo: tamanho m</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100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R$ 3.500,00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25</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 marinho, estampa na cor branca com a descrição "Educação", conforme modelo anexo: tamanho 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100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R$ 3.500,00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26</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azul-marinho, estampa na cor branca com a descrição "Educação", conforme modelo anexo: tamanho 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100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R$ 3.500,00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27</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v, manga curta, modelo feminino, tecido em malha pv, na cor azul-marinho, estampa na cor branca com a descrição "Educação", conforme modelo anexo: tamanho xgg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28</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azul-marinho, estampa na cor branca com a descrição "Educação", conforme modelo anexo: tamanho p</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29</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azul-marinho, estampa na cor branca com a descrição "Educação", conforme modelo anexo: tamanho m</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30</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azul-marinho, estampa na cor branca com a descrição "Educação", conforme modelo anexo: tamanho 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31</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azul-marinho, estampa na cor branca com a descrição "Educação", conforme modelo anexo: tamanho 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32</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azul-marinho, estampa na cor branca com a descrição "Educação", conforme modelo anexo: tamanho xgg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33</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feminino, tecido em malha pv, na cor branca, estampa na cor azul, com brasão do município de São Gabriel da Palha do lado esquerdo do peito, conforme modelo anexo: tamanho p</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34</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feminino, tecido em malha pv, na cor branca, estampa na cor azul, com brasão do município de São Gabriel da Palha do lado esquerdo do peito, conforme modelo anexo: tamanho m</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250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R$ 8.750,00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35</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feminino, tecido em malha pv, na cor branca, estampa na cor azul, com brasão do município de São Gabriel da Palha do lado esquerdo do peito, conforme modelo anexo: tamanho 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250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R$ 8.750,00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36</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feminino, tecido em malha pv, na cor branca, estampa na cor azul, com brasão do município de São Gabriel da Palha do lado esquerdo do peito, conforme modelo anexo: tamanho 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250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R$ 8.750,00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37</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feminino, tecido em malha pv, na cor branca, estampa na cor azul, com brasão do município de São Gabriel da Palha do lado esquerdo do peito, conforme modelo anexo: tamanho xgg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150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R$ 5.250,00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38</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branca, estampa na cor azul, com brasão do município de São Gabriel da Palha do lado esquerdo do peito e a descrição "motorista" também estampado, conforme modelo anexo: tamanho m</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rHeight w:val="300" w:hRule="atLeast"/>
        </w:trPr>
        <w:tc>
          <w:tcPr>
            <w:tcW w:w="8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0" w:after="0"/>
              <w:jc w:val="center"/>
              <w:rPr/>
            </w:pPr>
            <w:r>
              <w:rPr>
                <w:rFonts w:ascii="Verdana" w:hAnsi="Verdana"/>
                <w:sz w:val="22"/>
                <w:szCs w:val="22"/>
              </w:rPr>
              <w:t>39</w:t>
            </w:r>
          </w:p>
        </w:tc>
        <w:tc>
          <w:tcPr>
            <w:tcW w:w="4429" w:type="dxa"/>
            <w:tcBorders>
              <w:left w:val="single" w:sz="4" w:space="0" w:color="000000"/>
              <w:bottom w:val="single" w:sz="4" w:space="0" w:color="000000"/>
              <w:right w:val="single" w:sz="4" w:space="0" w:color="000000"/>
            </w:tcBorders>
          </w:tcPr>
          <w:p>
            <w:pPr>
              <w:pStyle w:val="Normal"/>
              <w:jc w:val="both"/>
              <w:rPr>
                <w:rFonts w:ascii="Verdana" w:hAnsi="Verdana"/>
                <w:sz w:val="22"/>
                <w:szCs w:val="22"/>
              </w:rPr>
            </w:pPr>
            <w:r>
              <w:rPr>
                <w:rFonts w:ascii="Verdana" w:hAnsi="Verdana"/>
                <w:sz w:val="22"/>
                <w:szCs w:val="22"/>
              </w:rPr>
              <w:t>CAMISETA com gola tipo redonda, manga curta, modelo masculino, tecido em malha pv, na cor branca, estampa na cor azul, com brasão do município de São Gabriel da Palha do lado esquerdo do peito e a descrição "motorista" também estampado, conforme modelo anexo: tamanho g</w:t>
            </w:r>
          </w:p>
        </w:tc>
        <w:tc>
          <w:tcPr>
            <w:tcW w:w="1236" w:type="dxa"/>
            <w:tcBorders>
              <w:left w:val="single" w:sz="4" w:space="0" w:color="000000"/>
              <w:bottom w:val="single" w:sz="4" w:space="0" w:color="000000"/>
              <w:right w:val="single" w:sz="4" w:space="0" w:color="000000"/>
            </w:tcBorders>
            <w:vAlign w:val="center"/>
          </w:tcPr>
          <w:p>
            <w:pPr>
              <w:pStyle w:val="Normal"/>
              <w:widowControl w:val="false"/>
              <w:jc w:val="center"/>
              <w:rPr/>
            </w:pPr>
            <w:r>
              <w:rPr>
                <w:rFonts w:ascii="Verdana" w:hAnsi="Verdana"/>
                <w:sz w:val="22"/>
                <w:szCs w:val="22"/>
              </w:rPr>
              <w:t xml:space="preserve">50 </w:t>
            </w:r>
            <w:r>
              <w:rPr>
                <w:rFonts w:cs="Arial" w:ascii="Verdana" w:hAnsi="Verdana"/>
                <w:sz w:val="22"/>
                <w:szCs w:val="22"/>
              </w:rPr>
              <w:t>und</w:t>
            </w:r>
          </w:p>
        </w:tc>
        <w:tc>
          <w:tcPr>
            <w:tcW w:w="1393" w:type="dxa"/>
            <w:tcBorders>
              <w:left w:val="single" w:sz="4" w:space="0" w:color="000000"/>
              <w:bottom w:val="single" w:sz="4" w:space="0" w:color="000000"/>
              <w:right w:val="single" w:sz="4" w:space="0" w:color="000000"/>
            </w:tcBorders>
            <w:vAlign w:val="center"/>
          </w:tcPr>
          <w:p>
            <w:pPr>
              <w:pStyle w:val="Normal"/>
              <w:widowControl w:val="false"/>
              <w:jc w:val="right"/>
              <w:rPr/>
            </w:pPr>
            <w:r>
              <w:rPr>
                <w:rFonts w:ascii="Verdana" w:hAnsi="Verdana"/>
                <w:color w:val="000000"/>
                <w:sz w:val="22"/>
                <w:szCs w:val="22"/>
              </w:rPr>
              <w:t>R$ 35,00</w:t>
            </w:r>
          </w:p>
        </w:tc>
        <w:tc>
          <w:tcPr>
            <w:tcW w:w="178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jc w:val="right"/>
              <w:rPr/>
            </w:pPr>
            <w:r>
              <w:rPr>
                <w:rFonts w:ascii="Verdana" w:hAnsi="Verdana"/>
                <w:sz w:val="22"/>
                <w:szCs w:val="22"/>
              </w:rPr>
              <w:t>R$ 1.750,00</w:t>
            </w:r>
          </w:p>
        </w:tc>
      </w:tr>
      <w:tr>
        <w:trPr>
          <w:trHeight w:val="1024" w:hRule="atLeast"/>
        </w:trPr>
        <w:tc>
          <w:tcPr>
            <w:tcW w:w="9685" w:type="dxa"/>
            <w:gridSpan w:val="5"/>
            <w:tcBorders>
              <w:left w:val="single" w:sz="4" w:space="0" w:color="000000"/>
              <w:bottom w:val="single" w:sz="4" w:space="0" w:color="000000"/>
              <w:right w:val="single" w:sz="4" w:space="0" w:color="000000"/>
            </w:tcBorders>
          </w:tcPr>
          <w:p>
            <w:pPr>
              <w:pStyle w:val="Normal"/>
              <w:widowControl w:val="false"/>
              <w:tabs>
                <w:tab w:val="clear" w:pos="708"/>
              </w:tabs>
              <w:spacing w:lineRule="auto" w:line="276" w:before="0" w:after="0"/>
              <w:jc w:val="center"/>
              <w:rPr>
                <w:rFonts w:ascii="Verdana" w:hAnsi="Verdana"/>
                <w:b/>
                <w:bCs/>
                <w:sz w:val="22"/>
                <w:szCs w:val="22"/>
              </w:rPr>
            </w:pPr>
            <w:r>
              <w:rPr>
                <w:rFonts w:ascii="Verdana" w:hAnsi="Verdana"/>
                <w:b/>
                <w:bCs/>
                <w:sz w:val="22"/>
                <w:szCs w:val="22"/>
              </w:rPr>
            </w:r>
          </w:p>
          <w:p>
            <w:pPr>
              <w:pStyle w:val="Normal"/>
              <w:widowControl w:val="false"/>
              <w:tabs>
                <w:tab w:val="clear" w:pos="708"/>
              </w:tabs>
              <w:spacing w:lineRule="auto" w:line="276" w:before="0" w:after="0"/>
              <w:jc w:val="center"/>
              <w:rPr>
                <w:rFonts w:ascii="Verdana" w:hAnsi="Verdana"/>
                <w:sz w:val="22"/>
                <w:szCs w:val="22"/>
              </w:rPr>
            </w:pPr>
            <w:r>
              <w:rPr>
                <w:rFonts w:ascii="Verdana" w:hAnsi="Verdana"/>
                <w:b/>
                <w:bCs/>
                <w:sz w:val="22"/>
                <w:szCs w:val="22"/>
              </w:rPr>
              <w:t>VALOR ESTIMADO TOTAL: R$ 147.000,00</w:t>
            </w:r>
            <w:r>
              <w:rPr>
                <w:rFonts w:eastAsia="Times New Roman" w:cs="Times New Roman" w:ascii="Verdana" w:hAnsi="Verdana"/>
                <w:b/>
                <w:bCs/>
                <w:color w:val="000000"/>
                <w:kern w:val="0"/>
                <w:sz w:val="22"/>
                <w:szCs w:val="22"/>
                <w:shd w:fill="auto" w:val="clear"/>
                <w:lang w:val="pt-BR" w:eastAsia="pt-BR" w:bidi="ar-SA"/>
              </w:rPr>
              <w:t xml:space="preserve"> (cento e quarenta e sete mil reais)</w:t>
            </w:r>
          </w:p>
        </w:tc>
      </w:tr>
    </w:tbl>
    <w:p>
      <w:pPr>
        <w:pStyle w:val="Normal"/>
        <w:tabs>
          <w:tab w:val="clear" w:pos="708"/>
          <w:tab w:val="left" w:pos="567" w:leader="none"/>
        </w:tabs>
        <w:spacing w:lineRule="auto" w:line="360"/>
        <w:ind w:hanging="0" w:left="0" w:right="0"/>
        <w:jc w:val="both"/>
        <w:rPr>
          <w:rFonts w:ascii="Verdana" w:hAnsi="Verdana"/>
          <w:sz w:val="22"/>
          <w:szCs w:val="22"/>
        </w:rPr>
      </w:pPr>
      <w:r>
        <w:rPr>
          <w:rFonts w:ascii="Verdana" w:hAnsi="Verdana"/>
          <w:sz w:val="22"/>
          <w:szCs w:val="22"/>
        </w:rPr>
      </w:r>
    </w:p>
    <w:p>
      <w:pPr>
        <w:pStyle w:val="Normal"/>
        <w:spacing w:lineRule="auto" w:line="276" w:before="85" w:after="85"/>
        <w:ind w:hanging="0" w:left="0"/>
        <w:jc w:val="both"/>
        <w:rPr/>
      </w:pPr>
      <w:r>
        <w:rPr>
          <w:rFonts w:cs="Arial" w:ascii="Verdana" w:hAnsi="Verdana"/>
          <w:sz w:val="22"/>
          <w:szCs w:val="22"/>
        </w:rPr>
        <w:t xml:space="preserve">1.2. </w:t>
      </w:r>
      <w:r>
        <w:rPr>
          <w:rFonts w:cs="Arial" w:ascii="Verdana" w:hAnsi="Verdana"/>
          <w:iCs/>
          <w:sz w:val="22"/>
          <w:szCs w:val="22"/>
        </w:rPr>
        <w:t>Os objetos desta aquisição não se enquadram como sendo de bens de luxo, conforme Decreto nº 10.818, de 2021.</w:t>
      </w:r>
    </w:p>
    <w:p>
      <w:pPr>
        <w:pStyle w:val="ListParagraph"/>
        <w:suppressAutoHyphens w:val="false"/>
        <w:spacing w:lineRule="auto" w:line="276" w:before="85" w:after="85"/>
        <w:ind w:hanging="0" w:left="0" w:right="0"/>
        <w:contextualSpacing w:val="false"/>
        <w:jc w:val="both"/>
        <w:rPr/>
      </w:pPr>
      <w:r>
        <w:rPr>
          <w:rFonts w:ascii="Verdana" w:hAnsi="Verdana"/>
          <w:b w:val="false"/>
          <w:bCs w:val="false"/>
          <w:iCs/>
          <w:sz w:val="22"/>
          <w:szCs w:val="22"/>
        </w:rPr>
        <w:t>1.3</w:t>
      </w:r>
      <w:r>
        <w:rPr>
          <w:rFonts w:ascii="Verdana" w:hAnsi="Verdana"/>
          <w:iCs/>
          <w:sz w:val="22"/>
          <w:szCs w:val="22"/>
        </w:rPr>
        <w:t xml:space="preserve">. </w:t>
      </w:r>
      <w:r>
        <w:rPr>
          <w:rFonts w:ascii="Verdana" w:hAnsi="Verdana"/>
          <w:sz w:val="22"/>
          <w:szCs w:val="22"/>
        </w:rPr>
        <w:t>O prazo de vigência da aquisição será de 12 (</w:t>
      </w:r>
      <w:r>
        <w:rPr>
          <w:rFonts w:eastAsia="Times New Roman" w:cs="Times New Roman" w:ascii="Verdana" w:hAnsi="Verdana"/>
          <w:color w:val="auto"/>
          <w:kern w:val="0"/>
          <w:sz w:val="22"/>
          <w:szCs w:val="22"/>
          <w:lang w:val="pt-BR" w:eastAsia="pt-BR" w:bidi="ar-SA"/>
        </w:rPr>
        <w:t>doze</w:t>
      </w:r>
      <w:r>
        <w:rPr>
          <w:rFonts w:ascii="Verdana" w:hAnsi="Verdana"/>
          <w:sz w:val="22"/>
          <w:szCs w:val="22"/>
        </w:rPr>
        <w:t xml:space="preserve">) </w:t>
      </w:r>
      <w:r>
        <w:rPr>
          <w:rFonts w:eastAsia="Times New Roman" w:cs="Times New Roman" w:ascii="Verdana" w:hAnsi="Verdana"/>
          <w:sz w:val="22"/>
          <w:szCs w:val="22"/>
        </w:rPr>
        <w:t>meses</w:t>
      </w:r>
      <w:r>
        <w:rPr>
          <w:rFonts w:ascii="Verdana" w:hAnsi="Verdana"/>
          <w:sz w:val="22"/>
          <w:szCs w:val="22"/>
        </w:rPr>
        <w:t>, com entrega em até 15 (quinze) dias contados da confirmação de recebimento da autorização de fornecimento emitida pelo Departamento de Compras e Contratos.</w:t>
      </w:r>
    </w:p>
    <w:p>
      <w:pPr>
        <w:pStyle w:val="Normal"/>
        <w:spacing w:lineRule="auto" w:line="276" w:before="85" w:after="85"/>
        <w:ind w:hanging="0" w:left="0"/>
        <w:jc w:val="both"/>
        <w:rPr/>
      </w:pPr>
      <w:r>
        <w:rPr>
          <w:rFonts w:eastAsia="SimSun" w:cs="Arial" w:ascii="Verdana" w:hAnsi="Verdana"/>
          <w:b w:val="false"/>
          <w:bCs w:val="false"/>
          <w:i w:val="false"/>
          <w:iCs w:val="false"/>
          <w:sz w:val="22"/>
          <w:szCs w:val="22"/>
          <w:u w:val="none"/>
          <w:shd w:fill="auto" w:val="clear"/>
          <w:lang w:val="pt-BR"/>
        </w:rPr>
        <w:t xml:space="preserve">1.4. O custo estimado total da contratação é de </w:t>
      </w:r>
      <w:r>
        <w:rPr>
          <w:rFonts w:eastAsia="Times New Roman" w:cs="Times New Roman" w:ascii="Verdana" w:hAnsi="Verdana"/>
          <w:b/>
          <w:bCs/>
          <w:i w:val="false"/>
          <w:iCs w:val="false"/>
          <w:color w:val="000000"/>
          <w:kern w:val="0"/>
          <w:sz w:val="22"/>
          <w:szCs w:val="22"/>
          <w:u w:val="none"/>
          <w:shd w:fill="auto" w:val="clear"/>
          <w:lang w:val="pt-BR" w:eastAsia="pt-BR" w:bidi="ar-SA"/>
        </w:rPr>
        <w:t xml:space="preserve"> </w:t>
      </w:r>
      <w:r>
        <w:rPr>
          <w:rFonts w:eastAsia="Times New Roman" w:cs="Times New Roman" w:ascii="Verdana" w:hAnsi="Verdana"/>
          <w:b w:val="false"/>
          <w:bCs w:val="false"/>
          <w:i w:val="false"/>
          <w:iCs w:val="false"/>
          <w:color w:val="000000"/>
          <w:kern w:val="0"/>
          <w:sz w:val="22"/>
          <w:szCs w:val="22"/>
          <w:u w:val="none"/>
          <w:shd w:fill="auto" w:val="clear"/>
          <w:lang w:val="pt-BR" w:eastAsia="pt-BR" w:bidi="ar-SA"/>
        </w:rPr>
        <w:t>R$ 147.000,00 (cento e quarenta e sete mil reais)</w:t>
      </w:r>
      <w:r>
        <w:rPr>
          <w:rFonts w:eastAsia="Times New Roman" w:cs="Times New Roman" w:ascii="Verdana" w:hAnsi="Verdana"/>
          <w:b w:val="false"/>
          <w:bCs w:val="false"/>
          <w:i w:val="false"/>
          <w:iCs w:val="false"/>
          <w:strike w:val="false"/>
          <w:dstrike w:val="false"/>
          <w:outline w:val="false"/>
          <w:shadow w:val="false"/>
          <w:color w:val="000000"/>
          <w:kern w:val="0"/>
          <w:sz w:val="22"/>
          <w:szCs w:val="22"/>
          <w:u w:val="none"/>
          <w:shd w:fill="auto" w:val="clear"/>
          <w:lang w:val="pt-BR" w:eastAsia="pt-BR" w:bidi="ar-SA"/>
        </w:rPr>
        <w:t xml:space="preserve"> </w:t>
      </w:r>
      <w:r>
        <w:rPr>
          <w:rFonts w:eastAsia="SimSun" w:cs="Arial" w:ascii="Verdana" w:hAnsi="Verdana"/>
          <w:b w:val="false"/>
          <w:bCs w:val="false"/>
          <w:i w:val="false"/>
          <w:iCs w:val="false"/>
          <w:sz w:val="22"/>
          <w:szCs w:val="22"/>
          <w:u w:val="none"/>
          <w:shd w:fill="auto" w:val="clear"/>
          <w:lang w:val="pt-BR"/>
        </w:rPr>
        <w:t>conforme custos unitários apostos nos orçamentos e no quadro comparativo de preços simples em anexo.</w:t>
      </w:r>
    </w:p>
    <w:p>
      <w:pPr>
        <w:pStyle w:val="Normal"/>
        <w:spacing w:lineRule="auto" w:line="276" w:before="85" w:after="85"/>
        <w:ind w:hanging="0" w:left="0"/>
        <w:jc w:val="both"/>
        <w:rPr/>
      </w:pPr>
      <w:r>
        <w:rPr>
          <w:rFonts w:eastAsia="SimSun" w:cs="Arial" w:ascii="Verdana" w:hAnsi="Verdana"/>
          <w:b w:val="false"/>
          <w:bCs w:val="false"/>
          <w:i w:val="false"/>
          <w:iCs w:val="false"/>
          <w:sz w:val="22"/>
          <w:szCs w:val="22"/>
          <w:u w:val="none"/>
          <w:shd w:fill="auto" w:val="clear"/>
          <w:lang w:val="pt-BR"/>
        </w:rPr>
        <w:t>1.5. A ata de registro de preços poderá ser prorrogada nos termos do artigo 84 da Lei Federal n 14.133/2021.</w:t>
      </w:r>
    </w:p>
    <w:p>
      <w:pPr>
        <w:pStyle w:val="Normal"/>
        <w:spacing w:lineRule="auto" w:line="276" w:before="85" w:after="85"/>
        <w:ind w:hanging="0" w:left="0"/>
        <w:jc w:val="both"/>
        <w:rPr>
          <w:rFonts w:eastAsia="SimSun" w:cs="Arial"/>
          <w:b w:val="false"/>
          <w:bCs w:val="false"/>
          <w:i w:val="false"/>
          <w:i w:val="false"/>
          <w:iCs w:val="false"/>
          <w:u w:val="none"/>
          <w:shd w:fill="auto" w:val="clear"/>
          <w:lang w:val="pt-BR"/>
        </w:rPr>
      </w:pPr>
      <w:r>
        <w:rPr>
          <w:rFonts w:eastAsia="SimSun" w:cs="Arial"/>
          <w:b w:val="false"/>
          <w:bCs w:val="false"/>
          <w:i w:val="false"/>
          <w:iCs w:val="false"/>
          <w:u w:val="none"/>
          <w:shd w:fill="auto" w:val="clear"/>
          <w:lang w:val="pt-BR"/>
        </w:rPr>
      </w:r>
    </w:p>
    <w:p>
      <w:pPr>
        <w:pStyle w:val="Normal"/>
        <w:spacing w:lineRule="auto" w:line="276" w:before="85" w:after="85"/>
        <w:ind w:hanging="0" w:left="0" w:right="0"/>
        <w:jc w:val="both"/>
        <w:rPr/>
      </w:pPr>
      <w:r>
        <w:rPr>
          <w:rFonts w:ascii="Verdana" w:hAnsi="Verdana"/>
          <w:b/>
          <w:bCs/>
          <w:sz w:val="22"/>
          <w:szCs w:val="22"/>
        </w:rPr>
        <w:t>2. DESCRIÇÃO DA NECESSIDADE DA CONTRATAÇÃO</w:t>
      </w:r>
    </w:p>
    <w:p>
      <w:pPr>
        <w:pStyle w:val="ListParagraph"/>
        <w:spacing w:lineRule="auto" w:line="276" w:before="85" w:after="85"/>
        <w:ind w:hanging="0" w:left="0"/>
        <w:contextualSpacing w:val="false"/>
        <w:jc w:val="both"/>
        <w:rPr/>
      </w:pPr>
      <w:r>
        <w:rPr>
          <w:rFonts w:cs="Arial" w:ascii="Verdana" w:hAnsi="Verdana"/>
          <w:b w:val="false"/>
          <w:bCs w:val="false"/>
          <w:sz w:val="22"/>
          <w:szCs w:val="22"/>
        </w:rPr>
        <w:t xml:space="preserve">2.1. </w:t>
      </w:r>
      <w:r>
        <w:rPr>
          <w:rFonts w:ascii="Verdana" w:hAnsi="Verdana"/>
          <w:b w:val="false"/>
          <w:bCs w:val="false"/>
          <w:sz w:val="22"/>
          <w:szCs w:val="22"/>
        </w:rPr>
        <w:t>Contratação de empresa para confecção de uniformes dos servidores da Secretaria de Educação a,</w:t>
      </w:r>
      <w:r>
        <w:rPr>
          <w:rFonts w:cs="Arial" w:ascii="Verdana" w:hAnsi="Verdana"/>
          <w:b w:val="false"/>
          <w:bCs w:val="false"/>
          <w:sz w:val="22"/>
          <w:szCs w:val="22"/>
        </w:rPr>
        <w:t xml:space="preserve"> no Município de São Gabriel da Palha, conforme especificações e quantidades detalhadas </w:t>
      </w:r>
      <w:r>
        <w:rPr>
          <w:rFonts w:cs="Arial" w:ascii="Verdana" w:hAnsi="Verdana"/>
          <w:b w:val="false"/>
          <w:bCs w:val="false"/>
          <w:sz w:val="22"/>
          <w:szCs w:val="22"/>
          <w:lang w:eastAsia="pt-BR"/>
        </w:rPr>
        <w:t>neste Estudo Técnico Preliminar</w:t>
      </w:r>
      <w:r>
        <w:rPr>
          <w:rFonts w:cs="Arial" w:ascii="Verdana" w:hAnsi="Verdana"/>
          <w:b w:val="false"/>
          <w:bCs w:val="false"/>
          <w:sz w:val="22"/>
          <w:szCs w:val="22"/>
        </w:rPr>
        <w:t>.</w:t>
      </w:r>
    </w:p>
    <w:p>
      <w:pPr>
        <w:pStyle w:val="ListParagraph"/>
        <w:spacing w:lineRule="auto" w:line="276" w:before="85" w:after="85"/>
        <w:ind w:hanging="0" w:left="0"/>
        <w:contextualSpacing w:val="false"/>
        <w:jc w:val="both"/>
        <w:rPr/>
      </w:pPr>
      <w:r>
        <w:rPr>
          <w:rFonts w:eastAsia="Arial" w:cs="Arial" w:ascii="Verdana" w:hAnsi="Verdana"/>
          <w:b w:val="false"/>
          <w:bCs w:val="false"/>
          <w:sz w:val="22"/>
          <w:szCs w:val="22"/>
        </w:rPr>
        <w:t>2.2. Diante da necessidade acima, iniciou-se o presente ETP por meio do qual será possível decidir qual é a melhor solução.</w:t>
      </w:r>
    </w:p>
    <w:p>
      <w:pPr>
        <w:pStyle w:val="ListParagraph"/>
        <w:spacing w:lineRule="auto" w:line="276" w:before="85" w:after="85"/>
        <w:ind w:hanging="0" w:left="0"/>
        <w:contextualSpacing w:val="false"/>
        <w:jc w:val="both"/>
        <w:rPr/>
      </w:pPr>
      <w:r>
        <w:rPr>
          <w:rFonts w:eastAsia="Arial" w:cs="Arial" w:ascii="Verdana" w:hAnsi="Verdana"/>
          <w:b w:val="false"/>
          <w:bCs w:val="false"/>
          <w:sz w:val="22"/>
          <w:szCs w:val="22"/>
        </w:rPr>
        <w:t>2.3. A quantidade foi estimada com base na demanda de servidores da Secretaria de Educação.</w:t>
      </w:r>
    </w:p>
    <w:p>
      <w:pPr>
        <w:pStyle w:val="Normal"/>
        <w:spacing w:lineRule="auto" w:line="276" w:before="85" w:after="85"/>
        <w:ind w:hanging="0" w:left="0"/>
        <w:jc w:val="both"/>
        <w:rPr/>
      </w:pPr>
      <w:r>
        <w:rPr>
          <w:rFonts w:eastAsia="Arial" w:cs="Arial" w:ascii="Verdana" w:hAnsi="Verdana"/>
          <w:b w:val="false"/>
          <w:bCs w:val="false"/>
          <w:sz w:val="22"/>
          <w:szCs w:val="22"/>
        </w:rPr>
        <w:t xml:space="preserve">2.4. </w:t>
      </w:r>
      <w:r>
        <w:rPr>
          <w:rFonts w:ascii="Verdana" w:hAnsi="Verdana"/>
          <w:b w:val="false"/>
          <w:bCs w:val="false"/>
          <w:sz w:val="22"/>
          <w:szCs w:val="22"/>
        </w:rPr>
        <w:t>A aquisição de uniformes tem como objetivo padronizar a identificação dos profissionais da Secretaria de Educação, promovendo organização, segurança e fortalecimento da imagem institucional. Além disso, os uniformes contribuem para a valorização dos servidores, criando um ambiente de trabalho mais profissional e coeso.</w:t>
      </w:r>
    </w:p>
    <w:p>
      <w:pPr>
        <w:pStyle w:val="Normal"/>
        <w:spacing w:lineRule="auto" w:line="276" w:before="85" w:after="85"/>
        <w:ind w:hanging="0" w:left="0"/>
        <w:jc w:val="both"/>
        <w:rPr/>
      </w:pPr>
      <w:r>
        <w:rPr>
          <w:rFonts w:eastAsia="Arial" w:cs="Arial" w:ascii="Verdana" w:hAnsi="Verdana"/>
          <w:b w:val="false"/>
          <w:bCs w:val="false"/>
          <w:sz w:val="22"/>
          <w:szCs w:val="22"/>
        </w:rPr>
        <w:t xml:space="preserve">2.5. A contratação pretendida tem consonância com o planejamento estratégico desta Instituição, uma vez que consta na sua programação orçamentária e financeira anual. </w:t>
      </w:r>
    </w:p>
    <w:p>
      <w:pPr>
        <w:pStyle w:val="ListParagraph"/>
        <w:spacing w:lineRule="auto" w:line="276" w:before="85" w:after="85"/>
        <w:ind w:hanging="0" w:left="0"/>
        <w:contextualSpacing w:val="false"/>
        <w:jc w:val="both"/>
        <w:rPr/>
      </w:pPr>
      <w:r>
        <w:rPr>
          <w:rFonts w:eastAsia="Times New Roman" w:cs="Times New Roman" w:ascii="Verdana" w:hAnsi="Verdana"/>
          <w:b w:val="false"/>
          <w:bCs w:val="false"/>
          <w:color w:val="auto"/>
          <w:kern w:val="0"/>
          <w:sz w:val="22"/>
          <w:szCs w:val="22"/>
          <w:lang w:val="pt-BR" w:eastAsia="pt-BR" w:bidi="ar-SA"/>
        </w:rPr>
        <w:t xml:space="preserve"> </w:t>
      </w:r>
    </w:p>
    <w:p>
      <w:pPr>
        <w:pStyle w:val="Normal"/>
        <w:tabs>
          <w:tab w:val="clear" w:pos="708"/>
          <w:tab w:val="left" w:pos="335" w:leader="none"/>
        </w:tabs>
        <w:spacing w:lineRule="auto" w:line="276" w:before="85" w:after="85"/>
        <w:ind w:hanging="0" w:left="0" w:right="0"/>
        <w:jc w:val="both"/>
        <w:rPr/>
      </w:pPr>
      <w:r>
        <w:rPr>
          <w:rFonts w:ascii="Verdana" w:hAnsi="Verdana"/>
          <w:b/>
          <w:bCs/>
          <w:sz w:val="22"/>
          <w:szCs w:val="22"/>
          <w:shd w:fill="auto" w:val="clear"/>
        </w:rPr>
        <w:t>3. DESCRIÇÃO DA SOLUÇÃO</w:t>
      </w:r>
    </w:p>
    <w:p>
      <w:pPr>
        <w:pStyle w:val="Normal"/>
        <w:spacing w:lineRule="auto" w:line="276" w:before="85" w:after="85"/>
        <w:ind w:hanging="0" w:left="0"/>
        <w:jc w:val="both"/>
        <w:rPr/>
      </w:pPr>
      <w:r>
        <w:rPr>
          <w:rFonts w:cs="Arial" w:ascii="Verdana" w:hAnsi="Verdana"/>
          <w:b w:val="false"/>
          <w:bCs w:val="false"/>
          <w:sz w:val="22"/>
          <w:szCs w:val="22"/>
        </w:rPr>
        <w:t>3.1 A solução a ser adotada consiste na Contratação de empresa para confecção de uniformes dos servidores da Secretaria de Educação, através de registro de preços, com vigência de 12 meses a partir da assinatura da ata de registro de preços, no Município de São Gabriel da Palha, para atender as necessidades da Secretaria Municipal de Educação como um todo.</w:t>
      </w:r>
    </w:p>
    <w:p>
      <w:pPr>
        <w:pStyle w:val="Normal"/>
        <w:spacing w:lineRule="auto" w:line="276" w:before="85" w:after="85"/>
        <w:ind w:hanging="0" w:left="0"/>
        <w:jc w:val="both"/>
        <w:rPr/>
      </w:pPr>
      <w:r>
        <w:rPr>
          <w:rFonts w:cs="Arial" w:ascii="Verdana" w:hAnsi="Verdana"/>
          <w:b w:val="false"/>
          <w:bCs w:val="false"/>
          <w:sz w:val="22"/>
          <w:szCs w:val="22"/>
        </w:rPr>
        <w:t>3.2 A contratação para a confecção dos uniformes deverá obedecer, no que couber, ao disposto na Lei n.º 14.133/2021 e suas alterações.</w:t>
      </w:r>
    </w:p>
    <w:p>
      <w:pPr>
        <w:pStyle w:val="Normal"/>
        <w:spacing w:lineRule="auto" w:line="276" w:before="85" w:after="85"/>
        <w:ind w:hanging="0" w:left="0"/>
        <w:jc w:val="both"/>
        <w:rPr/>
      </w:pPr>
      <w:r>
        <w:rPr>
          <w:rFonts w:cs="Arial" w:ascii="Verdana" w:hAnsi="Verdana"/>
          <w:b/>
          <w:bCs/>
          <w:sz w:val="22"/>
          <w:szCs w:val="22"/>
        </w:rPr>
        <w:t>3.3. Definição e justificativa de caracterização do objeto e prazos da contratação</w:t>
      </w:r>
    </w:p>
    <w:p>
      <w:pPr>
        <w:pStyle w:val="Normal"/>
        <w:spacing w:lineRule="auto" w:line="276" w:before="85" w:after="85"/>
        <w:ind w:hanging="0" w:left="0"/>
        <w:jc w:val="both"/>
        <w:rPr/>
      </w:pPr>
      <w:r>
        <w:rPr>
          <w:rFonts w:cs="Arial" w:ascii="Verdana" w:hAnsi="Verdana"/>
          <w:b w:val="false"/>
          <w:bCs w:val="false"/>
          <w:sz w:val="22"/>
          <w:szCs w:val="22"/>
        </w:rPr>
        <w:t>3.3.1. A demanda a ser Contratação de empresa para confecção de uniformes dos servidores da Secretaria de Educação, através de registro de preços, com vigência de 12 meses a partir da assinatura da ata de registro de preços. Para suprir as necessidades da Secretaria Municipal de Educação, conforme quantidades e especificações constantes definidas no Projeto Básico.</w:t>
      </w:r>
    </w:p>
    <w:p>
      <w:pPr>
        <w:pStyle w:val="Normal"/>
        <w:spacing w:lineRule="auto" w:line="276" w:before="85" w:after="85"/>
        <w:ind w:hanging="0" w:left="0"/>
        <w:jc w:val="both"/>
        <w:rPr>
          <w:rFonts w:eastAsia="Arial" w:cs="Arial"/>
          <w:b/>
          <w:sz w:val="24"/>
          <w:szCs w:val="24"/>
        </w:rPr>
      </w:pPr>
      <w:r>
        <w:rPr>
          <w:rFonts w:eastAsia="Arial" w:cs="Arial"/>
          <w:b/>
          <w:sz w:val="24"/>
          <w:szCs w:val="24"/>
        </w:rPr>
      </w:r>
    </w:p>
    <w:p>
      <w:pPr>
        <w:pStyle w:val="Normal"/>
        <w:spacing w:lineRule="auto" w:line="276" w:before="85" w:after="85"/>
        <w:ind w:hanging="0" w:left="0" w:right="0"/>
        <w:jc w:val="both"/>
        <w:rPr/>
      </w:pPr>
      <w:r>
        <w:rPr>
          <w:rFonts w:ascii="Verdana" w:hAnsi="Verdana"/>
          <w:b/>
          <w:bCs/>
          <w:sz w:val="22"/>
          <w:szCs w:val="22"/>
          <w:shd w:fill="auto" w:val="clear"/>
        </w:rPr>
        <w:t>4. REQUISITOS DA CONTRATAÇÃO</w:t>
      </w:r>
    </w:p>
    <w:p>
      <w:pPr>
        <w:pStyle w:val="ListParagraph"/>
        <w:tabs>
          <w:tab w:val="clear" w:pos="708"/>
          <w:tab w:val="left" w:pos="3390" w:leader="none"/>
          <w:tab w:val="center" w:pos="5032" w:leader="none"/>
        </w:tabs>
        <w:spacing w:lineRule="auto" w:line="276" w:before="85" w:after="85"/>
        <w:ind w:hanging="0" w:left="0"/>
        <w:contextualSpacing w:val="false"/>
        <w:jc w:val="both"/>
        <w:rPr/>
      </w:pPr>
      <w:r>
        <w:rPr>
          <w:rFonts w:eastAsia="Arial" w:cs="Arial" w:ascii="Verdana" w:hAnsi="Verdana"/>
          <w:b w:val="false"/>
          <w:bCs w:val="false"/>
          <w:sz w:val="22"/>
          <w:szCs w:val="22"/>
          <w:shd w:fill="auto" w:val="clear"/>
          <w:lang w:val="pt-BR"/>
        </w:rPr>
        <w:t>4</w:t>
      </w:r>
      <w:r>
        <w:rPr>
          <w:rFonts w:eastAsia="Arial" w:cs="Arial" w:ascii="Verdana" w:hAnsi="Verdana"/>
          <w:b w:val="false"/>
          <w:bCs w:val="false"/>
          <w:sz w:val="22"/>
          <w:szCs w:val="22"/>
          <w:shd w:fill="auto" w:val="clear"/>
        </w:rPr>
        <w:t>.1</w:t>
      </w:r>
      <w:r>
        <w:rPr>
          <w:rFonts w:eastAsia="Arial" w:cs="Arial" w:ascii="Verdana" w:hAnsi="Verdana"/>
          <w:b/>
          <w:bCs w:val="false"/>
          <w:sz w:val="22"/>
          <w:szCs w:val="22"/>
          <w:shd w:fill="auto" w:val="clear"/>
        </w:rPr>
        <w:t xml:space="preserve">. </w:t>
      </w:r>
      <w:r>
        <w:rPr>
          <w:rFonts w:eastAsia="Calibri" w:cs="Arial" w:ascii="Verdana" w:hAnsi="Verdana"/>
          <w:b w:val="false"/>
          <w:bCs w:val="false"/>
          <w:color w:val="000000"/>
          <w:sz w:val="22"/>
          <w:szCs w:val="22"/>
          <w:shd w:fill="auto" w:val="clear"/>
          <w:lang w:eastAsia="zh-CN"/>
        </w:rPr>
        <w:t xml:space="preserve"> A contratação deverá observar os seguintes requisitos:</w:t>
      </w:r>
    </w:p>
    <w:p>
      <w:pPr>
        <w:pStyle w:val="Normal"/>
        <w:tabs>
          <w:tab w:val="clear" w:pos="708"/>
          <w:tab w:val="left" w:pos="206" w:leader="none"/>
          <w:tab w:val="left" w:pos="563" w:leader="none"/>
        </w:tabs>
        <w:suppressAutoHyphens w:val="false"/>
        <w:spacing w:lineRule="auto" w:line="276" w:before="85" w:after="85"/>
        <w:ind w:hanging="0" w:left="0" w:right="0"/>
        <w:jc w:val="both"/>
        <w:rPr/>
      </w:pPr>
      <w:r>
        <w:rPr>
          <w:rFonts w:ascii="Verdana" w:hAnsi="Verdana"/>
          <w:b w:val="false"/>
          <w:bCs w:val="false"/>
          <w:i/>
          <w:iCs/>
          <w:sz w:val="22"/>
          <w:szCs w:val="22"/>
          <w:shd w:fill="auto" w:val="clear"/>
        </w:rPr>
        <w:t>4.2.</w:t>
      </w:r>
      <w:r>
        <w:rPr>
          <w:rFonts w:ascii="Verdana" w:hAnsi="Verdana"/>
          <w:b w:val="false"/>
          <w:bCs w:val="false"/>
          <w:sz w:val="22"/>
          <w:szCs w:val="22"/>
          <w:shd w:fill="auto" w:val="clear"/>
        </w:rPr>
        <w:t xml:space="preserve"> </w:t>
      </w:r>
      <w:r>
        <w:rPr>
          <w:rFonts w:ascii="Verdana" w:hAnsi="Verdana"/>
          <w:b w:val="false"/>
          <w:bCs w:val="false"/>
          <w:i/>
          <w:iCs/>
          <w:sz w:val="22"/>
          <w:szCs w:val="22"/>
          <w:u w:val="none"/>
          <w:shd w:fill="auto" w:val="clear"/>
        </w:rPr>
        <w:t xml:space="preserve"> </w:t>
      </w:r>
      <w:r>
        <w:rPr>
          <w:rFonts w:ascii="Verdana" w:hAnsi="Verdana"/>
          <w:b w:val="false"/>
          <w:bCs w:val="false"/>
          <w:i w:val="false"/>
          <w:iCs w:val="false"/>
          <w:sz w:val="22"/>
          <w:szCs w:val="22"/>
          <w:u w:val="none"/>
          <w:shd w:fill="auto" w:val="clear"/>
        </w:rPr>
        <w:t xml:space="preserve">A aquisição se dará por </w:t>
      </w:r>
      <w:r>
        <w:rPr>
          <w:rFonts w:eastAsia="Times New Roman" w:cs="Times New Roman" w:ascii="Verdana" w:hAnsi="Verdana"/>
          <w:b w:val="false"/>
          <w:bCs w:val="false"/>
          <w:i w:val="false"/>
          <w:iCs w:val="false"/>
          <w:color w:val="000000"/>
          <w:kern w:val="0"/>
          <w:sz w:val="22"/>
          <w:szCs w:val="22"/>
          <w:u w:val="none"/>
          <w:shd w:fill="auto" w:val="clear"/>
          <w:lang w:val="pt-BR" w:eastAsia="pt-BR" w:bidi="ar-SA"/>
        </w:rPr>
        <w:t>registro de preços</w:t>
      </w:r>
      <w:r>
        <w:rPr>
          <w:rFonts w:ascii="Verdana" w:hAnsi="Verdana"/>
          <w:b w:val="false"/>
          <w:bCs w:val="false"/>
          <w:i w:val="false"/>
          <w:iCs w:val="false"/>
          <w:sz w:val="22"/>
          <w:szCs w:val="22"/>
          <w:u w:val="none"/>
          <w:shd w:fill="auto" w:val="clear"/>
        </w:rPr>
        <w:t xml:space="preserve"> (sendo sagrado vencedor, o fornecedor que apresentar o menor valor </w:t>
      </w:r>
      <w:r>
        <w:rPr>
          <w:rFonts w:eastAsia="Times New Roman" w:cs="Times New Roman" w:ascii="Verdana" w:hAnsi="Verdana"/>
          <w:b w:val="false"/>
          <w:bCs w:val="false"/>
          <w:i w:val="false"/>
          <w:iCs w:val="false"/>
          <w:sz w:val="22"/>
          <w:szCs w:val="22"/>
          <w:u w:val="none"/>
          <w:shd w:fill="auto" w:val="clear"/>
        </w:rPr>
        <w:t xml:space="preserve">por item </w:t>
      </w:r>
      <w:r>
        <w:rPr>
          <w:rFonts w:ascii="Verdana" w:hAnsi="Verdana"/>
          <w:b w:val="false"/>
          <w:bCs w:val="false"/>
          <w:i w:val="false"/>
          <w:iCs w:val="false"/>
          <w:sz w:val="22"/>
          <w:szCs w:val="22"/>
          <w:u w:val="none"/>
          <w:shd w:fill="auto" w:val="clear"/>
        </w:rPr>
        <w:t>a ser adquirido), com entrega</w:t>
      </w:r>
      <w:r>
        <w:rPr>
          <w:rFonts w:eastAsia="Times New Roman" w:cs="Times New Roman" w:ascii="Verdana" w:hAnsi="Verdana"/>
          <w:b w:val="false"/>
          <w:bCs w:val="false"/>
          <w:i w:val="false"/>
          <w:iCs w:val="false"/>
          <w:sz w:val="22"/>
          <w:szCs w:val="22"/>
          <w:u w:val="none"/>
          <w:shd w:fill="auto" w:val="clear"/>
        </w:rPr>
        <w:t xml:space="preserve">, </w:t>
      </w:r>
      <w:r>
        <w:rPr>
          <w:rFonts w:eastAsia="Times New Roman" w:cs="Times New Roman" w:ascii="Verdana" w:hAnsi="Verdana"/>
          <w:b w:val="false"/>
          <w:bCs w:val="false"/>
          <w:i w:val="false"/>
          <w:iCs w:val="false"/>
          <w:color w:val="000000"/>
          <w:sz w:val="22"/>
          <w:szCs w:val="22"/>
          <w:u w:val="none"/>
          <w:shd w:fill="auto" w:val="clear"/>
        </w:rPr>
        <w:t>em até 15 (</w:t>
      </w:r>
      <w:r>
        <w:rPr>
          <w:rFonts w:eastAsia="Times New Roman" w:cs="Times New Roman" w:ascii="Verdana" w:hAnsi="Verdana"/>
          <w:b w:val="false"/>
          <w:bCs w:val="false"/>
          <w:i w:val="false"/>
          <w:iCs w:val="false"/>
          <w:color w:val="000000"/>
          <w:kern w:val="0"/>
          <w:sz w:val="22"/>
          <w:szCs w:val="22"/>
          <w:u w:val="none"/>
          <w:shd w:fill="auto" w:val="clear"/>
          <w:lang w:val="pt-BR" w:eastAsia="pt-BR" w:bidi="ar-SA"/>
        </w:rPr>
        <w:t>quinze</w:t>
      </w:r>
      <w:r>
        <w:rPr>
          <w:rFonts w:eastAsia="Times New Roman" w:cs="Times New Roman" w:ascii="Verdana" w:hAnsi="Verdana"/>
          <w:b w:val="false"/>
          <w:bCs w:val="false"/>
          <w:i w:val="false"/>
          <w:iCs w:val="false"/>
          <w:color w:val="000000"/>
          <w:sz w:val="22"/>
          <w:szCs w:val="22"/>
          <w:u w:val="none"/>
          <w:shd w:fill="auto" w:val="clear"/>
        </w:rPr>
        <w:t>) dias</w:t>
      </w:r>
      <w:r>
        <w:rPr>
          <w:rFonts w:eastAsia="Times New Roman" w:cs="Times New Roman" w:ascii="Verdana" w:hAnsi="Verdana"/>
          <w:b w:val="false"/>
          <w:bCs w:val="false"/>
          <w:i w:val="false"/>
          <w:iCs w:val="false"/>
          <w:sz w:val="22"/>
          <w:szCs w:val="22"/>
          <w:u w:val="none"/>
          <w:shd w:fill="auto" w:val="clear"/>
        </w:rPr>
        <w:t xml:space="preserve"> após a emissão da autorização de fornecimento emitida pelo Depa</w:t>
      </w:r>
      <w:r>
        <w:rPr>
          <w:rFonts w:eastAsia="Times New Roman" w:cs="Times New Roman" w:ascii="Verdana" w:hAnsi="Verdana"/>
          <w:b w:val="false"/>
          <w:bCs w:val="false"/>
          <w:i w:val="false"/>
          <w:iCs w:val="false"/>
          <w:sz w:val="22"/>
          <w:szCs w:val="22"/>
          <w:u w:val="none"/>
        </w:rPr>
        <w:t>rtamento de Compras e Contratos e a confirmação de recebimento pela empresa.</w:t>
      </w:r>
    </w:p>
    <w:p>
      <w:pPr>
        <w:pStyle w:val="Normal"/>
        <w:shd w:val="clear" w:fill="FFFFFF"/>
        <w:suppressAutoHyphens w:val="false"/>
        <w:spacing w:lineRule="auto" w:line="276" w:before="85" w:after="85"/>
        <w:ind w:hanging="0" w:left="0" w:right="0"/>
        <w:jc w:val="both"/>
        <w:rPr/>
      </w:pPr>
      <w:r>
        <w:rPr>
          <w:rFonts w:eastAsia="Calibri" w:ascii="Verdana" w:hAnsi="Verdana"/>
          <w:b w:val="false"/>
          <w:bCs w:val="false"/>
          <w:sz w:val="22"/>
          <w:szCs w:val="22"/>
          <w:shd w:fill="FFFFFF" w:val="clear"/>
        </w:rPr>
        <w:t xml:space="preserve">4.3. A empresa fornecedora deverá entregar </w:t>
      </w:r>
      <w:r>
        <w:rPr>
          <w:rFonts w:eastAsia="Calibri" w:cs="Times New Roman" w:ascii="Verdana" w:hAnsi="Verdana"/>
          <w:b w:val="false"/>
          <w:bCs w:val="false"/>
          <w:sz w:val="22"/>
          <w:szCs w:val="22"/>
          <w:shd w:fill="FFFFFF" w:val="clear"/>
        </w:rPr>
        <w:t>o objeto</w:t>
      </w:r>
      <w:r>
        <w:rPr>
          <w:rFonts w:eastAsia="Calibri" w:ascii="Verdana" w:hAnsi="Verdana"/>
          <w:b w:val="false"/>
          <w:bCs w:val="false"/>
          <w:sz w:val="22"/>
          <w:szCs w:val="22"/>
          <w:shd w:fill="FFFFFF" w:val="clear"/>
        </w:rPr>
        <w:t xml:space="preserve"> de qualidade de acordo com a especificação apresentada </w:t>
      </w:r>
      <w:r>
        <w:rPr>
          <w:rFonts w:ascii="Verdana" w:hAnsi="Verdana"/>
          <w:b w:val="false"/>
          <w:bCs w:val="false"/>
          <w:sz w:val="22"/>
          <w:szCs w:val="22"/>
        </w:rPr>
        <w:t>na autorização</w:t>
      </w:r>
      <w:r>
        <w:rPr>
          <w:rFonts w:ascii="Verdana" w:hAnsi="Verdana"/>
          <w:sz w:val="22"/>
          <w:szCs w:val="22"/>
        </w:rPr>
        <w:t xml:space="preserve"> de fornecimento/execução, sem marcas e sem defeitos e </w:t>
      </w:r>
      <w:r>
        <w:rPr>
          <w:rFonts w:eastAsia="Calibri" w:ascii="Verdana" w:hAnsi="Verdana"/>
          <w:sz w:val="22"/>
          <w:szCs w:val="22"/>
          <w:shd w:fill="FFFFFF" w:val="clear"/>
        </w:rPr>
        <w:t xml:space="preserve">em perfeitas condições </w:t>
      </w:r>
      <w:r>
        <w:rPr>
          <w:rFonts w:eastAsia="Calibri" w:cs="Times New Roman" w:ascii="Verdana" w:hAnsi="Verdana"/>
          <w:sz w:val="22"/>
          <w:szCs w:val="22"/>
          <w:shd w:fill="FFFFFF" w:val="clear"/>
        </w:rPr>
        <w:t>de uso de acordo com as normas técnicas e de segurança vigentes.</w:t>
      </w:r>
    </w:p>
    <w:p>
      <w:pPr>
        <w:pStyle w:val="ListParagraph"/>
        <w:tabs>
          <w:tab w:val="clear" w:pos="708"/>
          <w:tab w:val="left" w:pos="567" w:leader="none"/>
        </w:tabs>
        <w:spacing w:lineRule="auto" w:line="276" w:before="85" w:after="85"/>
        <w:ind w:hanging="0" w:left="0" w:right="0"/>
        <w:contextualSpacing w:val="false"/>
        <w:jc w:val="both"/>
        <w:rPr/>
      </w:pPr>
      <w:r>
        <w:rPr>
          <w:rFonts w:ascii="Verdana" w:hAnsi="Verdana"/>
          <w:b w:val="false"/>
          <w:bCs w:val="false"/>
          <w:sz w:val="22"/>
          <w:szCs w:val="22"/>
        </w:rPr>
        <w:t>4.4.</w:t>
      </w:r>
      <w:r>
        <w:rPr>
          <w:rFonts w:ascii="Verdana" w:hAnsi="Verdana"/>
          <w:sz w:val="22"/>
          <w:szCs w:val="22"/>
        </w:rPr>
        <w:t xml:space="preserve"> A empresa </w:t>
      </w:r>
      <w:r>
        <w:rPr>
          <w:rFonts w:eastAsia="Times New Roman" w:cs="Times New Roman" w:ascii="Verdana" w:hAnsi="Verdana"/>
          <w:sz w:val="22"/>
          <w:szCs w:val="22"/>
        </w:rPr>
        <w:t>ganhadora</w:t>
      </w:r>
      <w:r>
        <w:rPr>
          <w:rFonts w:ascii="Verdana" w:hAnsi="Verdana"/>
          <w:sz w:val="22"/>
          <w:szCs w:val="22"/>
        </w:rPr>
        <w:t xml:space="preserve"> deverá entregar </w:t>
      </w:r>
      <w:r>
        <w:rPr>
          <w:rFonts w:eastAsia="Times New Roman" w:cs="Times New Roman" w:ascii="Verdana" w:hAnsi="Verdana"/>
          <w:sz w:val="22"/>
          <w:szCs w:val="22"/>
        </w:rPr>
        <w:t>os itens</w:t>
      </w:r>
      <w:r>
        <w:rPr>
          <w:rFonts w:ascii="Verdana" w:hAnsi="Verdana"/>
          <w:sz w:val="22"/>
          <w:szCs w:val="22"/>
        </w:rPr>
        <w:t xml:space="preserve"> na data estipulada na autorização de fornecimento/execução emitida pelo Departamento de Compras e </w:t>
      </w:r>
      <w:r>
        <w:rPr>
          <w:rFonts w:ascii="Verdana" w:hAnsi="Verdana"/>
          <w:b w:val="false"/>
          <w:bCs w:val="false"/>
          <w:sz w:val="22"/>
          <w:szCs w:val="22"/>
        </w:rPr>
        <w:t>Contratos.</w:t>
      </w:r>
    </w:p>
    <w:p>
      <w:pPr>
        <w:pStyle w:val="ListParagraph"/>
        <w:spacing w:lineRule="auto" w:line="276" w:before="85" w:after="85"/>
        <w:ind w:hanging="0" w:left="0" w:right="0"/>
        <w:contextualSpacing w:val="false"/>
        <w:jc w:val="both"/>
        <w:rPr/>
      </w:pPr>
      <w:r>
        <w:rPr>
          <w:rFonts w:ascii="Verdana" w:hAnsi="Verdana"/>
          <w:b w:val="false"/>
          <w:bCs w:val="false"/>
          <w:sz w:val="22"/>
          <w:szCs w:val="22"/>
        </w:rPr>
        <w:t xml:space="preserve">4.5. </w:t>
      </w:r>
      <w:r>
        <w:rPr>
          <w:rFonts w:ascii="Verdana" w:hAnsi="Verdana"/>
          <w:sz w:val="22"/>
          <w:szCs w:val="22"/>
        </w:rPr>
        <w:t>Não será admitida a subcontratação do objeto contratual.</w:t>
      </w:r>
    </w:p>
    <w:p>
      <w:pPr>
        <w:pStyle w:val="Normal"/>
        <w:tabs>
          <w:tab w:val="clear" w:pos="708"/>
          <w:tab w:val="left" w:pos="133" w:leader="none"/>
        </w:tabs>
        <w:spacing w:lineRule="auto" w:line="276" w:before="85" w:after="85"/>
        <w:ind w:hanging="0" w:left="0" w:right="0"/>
        <w:jc w:val="both"/>
        <w:rPr/>
      </w:pPr>
      <w:r>
        <w:rPr>
          <w:rFonts w:ascii="Verdana" w:hAnsi="Verdana"/>
          <w:b w:val="false"/>
          <w:bCs w:val="false"/>
          <w:sz w:val="22"/>
          <w:szCs w:val="22"/>
        </w:rPr>
        <w:t xml:space="preserve">4.6. </w:t>
      </w:r>
      <w:r>
        <w:rPr>
          <w:rFonts w:ascii="Verdana" w:hAnsi="Verdana"/>
          <w:sz w:val="22"/>
          <w:szCs w:val="22"/>
        </w:rPr>
        <w:t>Não haverá exigência da garantia da contratação dos arts. 96 e seguintes da Lei nº 14.133/21.</w:t>
      </w:r>
    </w:p>
    <w:p>
      <w:pPr>
        <w:pStyle w:val="Normal"/>
        <w:tabs>
          <w:tab w:val="clear" w:pos="708"/>
          <w:tab w:val="left" w:pos="133" w:leader="none"/>
        </w:tabs>
        <w:spacing w:lineRule="auto" w:line="276" w:before="85" w:after="85"/>
        <w:ind w:hanging="0" w:left="0" w:right="0"/>
        <w:jc w:val="both"/>
        <w:rPr/>
      </w:pPr>
      <w:r>
        <w:rPr>
          <w:rFonts w:ascii="Verdana" w:hAnsi="Verdana"/>
          <w:sz w:val="22"/>
          <w:szCs w:val="22"/>
        </w:rPr>
        <w:t>4.7.</w:t>
      </w:r>
      <w:r>
        <w:rPr>
          <w:rFonts w:cs="Arial" w:ascii="Verdana" w:hAnsi="Verdana"/>
          <w:sz w:val="22"/>
          <w:szCs w:val="22"/>
        </w:rPr>
        <w:t xml:space="preserve">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 xml:space="preserve">4.8. </w:t>
      </w:r>
      <w:r>
        <w:rPr>
          <w:rFonts w:cs="Arial" w:ascii="Verdana" w:hAnsi="Verdana"/>
          <w:sz w:val="22"/>
          <w:szCs w:val="22"/>
        </w:rPr>
        <w:t>Os insumos necessários às embalagens</w:t>
      </w:r>
      <w:r>
        <w:rPr>
          <w:rFonts w:cs="Arial" w:ascii="Verdana" w:hAnsi="Verdana"/>
          <w:sz w:val="22"/>
          <w:szCs w:val="22"/>
          <w:lang w:val="pt-BR"/>
        </w:rPr>
        <w:t>, carga e descarga e instalação</w:t>
      </w:r>
      <w:r>
        <w:rPr>
          <w:rFonts w:cs="Arial" w:ascii="Verdana" w:hAnsi="Verdana"/>
          <w:sz w:val="22"/>
          <w:szCs w:val="22"/>
        </w:rPr>
        <w:t xml:space="preserve"> serão responsabilidades</w:t>
      </w:r>
      <w:r>
        <w:rPr>
          <w:rFonts w:cs="Arial" w:ascii="Verdana" w:hAnsi="Verdana"/>
          <w:sz w:val="22"/>
          <w:szCs w:val="22"/>
          <w:lang w:val="pt-BR"/>
        </w:rPr>
        <w:t xml:space="preserve"> da contratada</w:t>
      </w:r>
      <w:r>
        <w:rPr>
          <w:rFonts w:cs="Arial" w:ascii="Verdana" w:hAnsi="Verdana"/>
          <w:sz w:val="22"/>
          <w:szCs w:val="22"/>
        </w:rPr>
        <w:t>.</w:t>
      </w:r>
    </w:p>
    <w:p>
      <w:pPr>
        <w:pStyle w:val="Normal"/>
        <w:spacing w:lineRule="auto" w:line="276" w:before="85" w:after="85"/>
        <w:ind w:hanging="0" w:left="0"/>
        <w:jc w:val="both"/>
        <w:rPr>
          <w:rFonts w:ascii="Verdana" w:hAnsi="Verdana" w:cs="Arial"/>
          <w:sz w:val="22"/>
          <w:szCs w:val="22"/>
          <w:shd w:fill="auto" w:val="clear"/>
        </w:rPr>
      </w:pPr>
      <w:r>
        <w:rPr>
          <w:rFonts w:cs="Arial" w:ascii="Verdana" w:hAnsi="Verdana"/>
          <w:sz w:val="22"/>
          <w:szCs w:val="22"/>
          <w:shd w:fill="auto" w:val="clear"/>
        </w:rPr>
      </w:r>
    </w:p>
    <w:p>
      <w:pPr>
        <w:pStyle w:val="Normal"/>
        <w:spacing w:lineRule="auto" w:line="276" w:before="85" w:after="85"/>
        <w:ind w:hanging="0" w:left="0" w:right="0"/>
        <w:jc w:val="both"/>
        <w:rPr/>
      </w:pPr>
      <w:r>
        <w:rPr>
          <w:rFonts w:ascii="Verdana" w:hAnsi="Verdana"/>
          <w:b/>
          <w:bCs/>
          <w:sz w:val="22"/>
          <w:szCs w:val="22"/>
          <w:shd w:fill="auto" w:val="clear"/>
        </w:rPr>
        <w:t xml:space="preserve">5. MODELO DE EXECUÇÃO CONTRATUAL </w:t>
      </w:r>
    </w:p>
    <w:p>
      <w:pPr>
        <w:pStyle w:val="ListParagraph"/>
        <w:widowControl/>
        <w:tabs>
          <w:tab w:val="clear" w:pos="708"/>
          <w:tab w:val="left" w:pos="0" w:leader="none"/>
          <w:tab w:val="left" w:pos="450" w:leader="none"/>
        </w:tabs>
        <w:suppressAutoHyphens w:val="true"/>
        <w:bidi w:val="0"/>
        <w:spacing w:lineRule="auto" w:line="276" w:before="85" w:after="85"/>
        <w:ind w:hanging="0" w:left="0" w:right="0"/>
        <w:contextualSpacing w:val="false"/>
        <w:jc w:val="both"/>
        <w:rPr/>
      </w:pPr>
      <w:r>
        <w:rPr>
          <w:rFonts w:cs="Times New Roman" w:ascii="Verdana" w:hAnsi="Verdana"/>
          <w:b w:val="false"/>
          <w:bCs w:val="false"/>
          <w:iCs/>
          <w:sz w:val="22"/>
          <w:szCs w:val="22"/>
          <w:shd w:fill="auto" w:val="clear"/>
          <w:lang w:val="pt-BR"/>
        </w:rPr>
        <w:t>5</w:t>
      </w:r>
      <w:r>
        <w:rPr>
          <w:rFonts w:cs="Arial" w:ascii="Verdana" w:hAnsi="Verdana"/>
          <w:b w:val="false"/>
          <w:bCs w:val="false"/>
          <w:iCs/>
          <w:sz w:val="22"/>
          <w:szCs w:val="22"/>
        </w:rPr>
        <w:t>.1.</w:t>
      </w:r>
      <w:r>
        <w:rPr>
          <w:rFonts w:cs="Arial" w:ascii="Verdana" w:hAnsi="Verdana"/>
          <w:bCs/>
          <w:iCs/>
          <w:sz w:val="22"/>
          <w:szCs w:val="22"/>
        </w:rPr>
        <w:t xml:space="preserve"> </w:t>
      </w:r>
      <w:r>
        <w:rPr>
          <w:rFonts w:eastAsia="Arial" w:cs="Arial" w:ascii="Verdana" w:hAnsi="Verdana"/>
          <w:bCs/>
          <w:iCs/>
          <w:sz w:val="22"/>
          <w:szCs w:val="22"/>
        </w:rPr>
        <w:t>Os materiais deverão ser entregues diretamente na Secretaria Municipal de Educação, praça Vicente Glazar, nº 159, Bairro Glória, nesta cidade, juntamente com a Nota Fiscal para avaliação da qualidade e conferência do item com a descrição solicitada.</w:t>
      </w:r>
    </w:p>
    <w:p>
      <w:pPr>
        <w:pStyle w:val="ListParagraph"/>
        <w:widowControl/>
        <w:tabs>
          <w:tab w:val="clear" w:pos="708"/>
          <w:tab w:val="left" w:pos="0" w:leader="none"/>
          <w:tab w:val="left" w:pos="450" w:leader="none"/>
        </w:tabs>
        <w:suppressAutoHyphens w:val="true"/>
        <w:bidi w:val="0"/>
        <w:spacing w:lineRule="auto" w:line="276" w:before="85" w:after="85"/>
        <w:ind w:hanging="0" w:left="0" w:right="0"/>
        <w:contextualSpacing w:val="false"/>
        <w:jc w:val="both"/>
        <w:rPr/>
      </w:pPr>
      <w:r>
        <w:rPr>
          <w:rFonts w:eastAsia="Arial" w:cs="Arial" w:ascii="Verdana" w:hAnsi="Verdana"/>
          <w:bCs/>
          <w:iCs/>
          <w:sz w:val="22"/>
          <w:szCs w:val="22"/>
        </w:rPr>
        <w:t>5.1.2. Os itens deverão ser entregues dentro do horário de expediente sendo de 12h às 18h de segunda a quinta e de 07 às 13h na sexta feira, observando feriados e pontos facultativos.</w:t>
      </w:r>
    </w:p>
    <w:p>
      <w:pPr>
        <w:pStyle w:val="ListParagraph"/>
        <w:widowControl/>
        <w:tabs>
          <w:tab w:val="clear" w:pos="708"/>
          <w:tab w:val="left" w:pos="0" w:leader="none"/>
          <w:tab w:val="left" w:pos="450" w:leader="none"/>
        </w:tabs>
        <w:suppressAutoHyphens w:val="true"/>
        <w:bidi w:val="0"/>
        <w:spacing w:lineRule="auto" w:line="276" w:before="85" w:after="85"/>
        <w:ind w:hanging="0" w:left="0" w:right="0"/>
        <w:contextualSpacing w:val="false"/>
        <w:jc w:val="both"/>
        <w:rPr>
          <w:b/>
          <w:bCs/>
        </w:rPr>
      </w:pPr>
      <w:r>
        <w:rPr>
          <w:rFonts w:cs="Arial" w:ascii="Verdana" w:hAnsi="Verdana"/>
          <w:b/>
          <w:bCs/>
          <w:iCs/>
          <w:sz w:val="22"/>
          <w:szCs w:val="22"/>
          <w:lang w:val="pt-BR"/>
        </w:rPr>
        <w:t>5.1.</w:t>
      </w:r>
      <w:r>
        <w:rPr>
          <w:rFonts w:cs="Arial" w:ascii="Verdana" w:hAnsi="Verdana"/>
          <w:b/>
          <w:bCs/>
          <w:iCs/>
          <w:sz w:val="22"/>
          <w:szCs w:val="22"/>
          <w:lang w:val="pt-BR"/>
        </w:rPr>
        <w:t>3</w:t>
      </w:r>
      <w:r>
        <w:rPr>
          <w:rFonts w:cs="Arial" w:ascii="Verdana" w:hAnsi="Verdana"/>
          <w:b/>
          <w:bCs/>
          <w:iCs/>
          <w:sz w:val="22"/>
          <w:szCs w:val="22"/>
          <w:lang w:val="pt-BR"/>
        </w:rPr>
        <w:t>. Contato:</w:t>
      </w:r>
    </w:p>
    <w:p>
      <w:pPr>
        <w:pStyle w:val="Normal"/>
        <w:spacing w:lineRule="auto" w:line="276" w:before="85" w:after="85"/>
        <w:ind w:hanging="0" w:left="0"/>
        <w:jc w:val="both"/>
        <w:rPr/>
      </w:pPr>
      <w:r>
        <w:rPr>
          <w:rFonts w:cs="Arial" w:ascii="Verdana" w:hAnsi="Verdana"/>
          <w:b w:val="false"/>
          <w:bCs w:val="false"/>
          <w:sz w:val="22"/>
          <w:szCs w:val="22"/>
        </w:rPr>
        <w:t>Tel: 27 99752-5596</w:t>
      </w:r>
    </w:p>
    <w:p>
      <w:pPr>
        <w:pStyle w:val="Normal"/>
        <w:spacing w:lineRule="auto" w:line="276" w:before="85" w:after="85"/>
        <w:ind w:hanging="0" w:left="0"/>
        <w:jc w:val="both"/>
        <w:rPr/>
      </w:pPr>
      <w:r>
        <w:rPr>
          <w:rFonts w:cs="Arial" w:ascii="Verdana" w:hAnsi="Verdana"/>
          <w:b w:val="false"/>
          <w:bCs w:val="false"/>
          <w:sz w:val="22"/>
          <w:szCs w:val="22"/>
        </w:rPr>
        <w:t>Email: transportesemedsgp@gmail.com</w:t>
      </w:r>
    </w:p>
    <w:p>
      <w:pPr>
        <w:pStyle w:val="Normal"/>
        <w:spacing w:lineRule="auto" w:line="276" w:before="85" w:after="85"/>
        <w:ind w:hanging="0" w:left="0"/>
        <w:jc w:val="both"/>
        <w:rPr/>
      </w:pPr>
      <w:r>
        <w:rPr>
          <w:rFonts w:eastAsia="Arial" w:cs="Arial" w:ascii="Verdana" w:hAnsi="Verdana"/>
          <w:b w:val="false"/>
          <w:bCs w:val="false"/>
          <w:iCs/>
          <w:sz w:val="22"/>
          <w:szCs w:val="22"/>
          <w:lang w:val="pt-BR"/>
        </w:rPr>
        <w:t>Responsável: Secretaria Municipal de Educação</w:t>
      </w:r>
    </w:p>
    <w:p>
      <w:pPr>
        <w:pStyle w:val="Normal"/>
        <w:spacing w:lineRule="auto" w:line="276" w:before="85" w:after="85"/>
        <w:ind w:hanging="0" w:left="0"/>
        <w:jc w:val="both"/>
        <w:rPr/>
      </w:pPr>
      <w:r>
        <w:rPr>
          <w:rFonts w:cs="Arial" w:ascii="Verdana" w:hAnsi="Verdana"/>
          <w:b w:val="false"/>
          <w:bCs w:val="false"/>
          <w:sz w:val="22"/>
          <w:szCs w:val="22"/>
          <w:lang w:val="pt-BR"/>
        </w:rPr>
        <w:t>5</w:t>
      </w:r>
      <w:r>
        <w:rPr>
          <w:rFonts w:cs="Arial" w:ascii="Verdana" w:hAnsi="Verdana"/>
          <w:b w:val="false"/>
          <w:bCs w:val="false"/>
          <w:sz w:val="22"/>
          <w:szCs w:val="22"/>
        </w:rPr>
        <w:t>.2.</w:t>
      </w:r>
      <w:r>
        <w:rPr>
          <w:rFonts w:cs="Arial" w:ascii="Verdana" w:hAnsi="Verdana"/>
          <w:sz w:val="22"/>
          <w:szCs w:val="22"/>
        </w:rPr>
        <w:t xml:space="preserve"> A entrega deverá ocorrer sem qualquer ônus adicional, bem como a descarga e todas as demais despesas provenientes da mesma, previamente agendada com a </w:t>
      </w:r>
      <w:r>
        <w:rPr>
          <w:rFonts w:cs="Arial" w:ascii="Verdana" w:hAnsi="Verdana"/>
          <w:sz w:val="22"/>
          <w:szCs w:val="22"/>
          <w:lang w:val="pt-BR"/>
        </w:rPr>
        <w:t>Escola</w:t>
      </w:r>
      <w:r>
        <w:rPr>
          <w:rFonts w:cs="Arial" w:ascii="Verdana" w:hAnsi="Verdana"/>
          <w:sz w:val="22"/>
          <w:szCs w:val="22"/>
        </w:rPr>
        <w:t>;</w:t>
      </w:r>
    </w:p>
    <w:p>
      <w:pPr>
        <w:pStyle w:val="Normal"/>
        <w:spacing w:lineRule="auto" w:line="276" w:before="85" w:after="85"/>
        <w:ind w:hanging="0" w:left="0"/>
        <w:jc w:val="both"/>
        <w:rPr/>
      </w:pPr>
      <w:r>
        <w:rPr>
          <w:rFonts w:cs="Arial" w:ascii="Verdana" w:hAnsi="Verdana"/>
          <w:b w:val="false"/>
          <w:bCs w:val="false"/>
          <w:sz w:val="22"/>
          <w:szCs w:val="22"/>
          <w:lang w:val="pt-BR"/>
        </w:rPr>
        <w:t>5</w:t>
      </w:r>
      <w:r>
        <w:rPr>
          <w:rFonts w:cs="Arial" w:ascii="Verdana" w:hAnsi="Verdana"/>
          <w:b w:val="false"/>
          <w:bCs w:val="false"/>
          <w:sz w:val="22"/>
          <w:szCs w:val="22"/>
        </w:rPr>
        <w:t>.3.</w:t>
      </w:r>
      <w:r>
        <w:rPr>
          <w:rFonts w:cs="Arial" w:ascii="Verdana" w:hAnsi="Verdana"/>
          <w:sz w:val="22"/>
          <w:szCs w:val="22"/>
        </w:rPr>
        <w:t xml:space="preserve"> A Empresa vencedora garantirá a qualidade dos materiais obrigando-se a repor aquele que apresentar defeito ou for entregue em desacordo com o apresentado na proposta; </w:t>
      </w:r>
    </w:p>
    <w:p>
      <w:pPr>
        <w:pStyle w:val="Normal"/>
        <w:spacing w:lineRule="auto" w:line="276" w:before="85" w:after="85"/>
        <w:ind w:hanging="0" w:left="0"/>
        <w:jc w:val="both"/>
        <w:rPr/>
      </w:pPr>
      <w:r>
        <w:rPr>
          <w:rFonts w:cs="Arial" w:ascii="Verdana" w:hAnsi="Verdana"/>
          <w:b w:val="false"/>
          <w:bCs w:val="false"/>
          <w:sz w:val="22"/>
          <w:szCs w:val="22"/>
          <w:lang w:val="pt-BR"/>
        </w:rPr>
        <w:t>5</w:t>
      </w:r>
      <w:r>
        <w:rPr>
          <w:rFonts w:cs="Arial" w:ascii="Verdana" w:hAnsi="Verdana"/>
          <w:b w:val="false"/>
          <w:bCs w:val="false"/>
          <w:sz w:val="22"/>
          <w:szCs w:val="22"/>
        </w:rPr>
        <w:t>.</w:t>
      </w:r>
      <w:r>
        <w:rPr>
          <w:rFonts w:cs="Arial" w:ascii="Verdana" w:hAnsi="Verdana"/>
          <w:b w:val="false"/>
          <w:bCs w:val="false"/>
          <w:sz w:val="22"/>
          <w:szCs w:val="22"/>
          <w:lang w:val="pt-BR"/>
        </w:rPr>
        <w:t>4</w:t>
      </w:r>
      <w:r>
        <w:rPr>
          <w:rFonts w:cs="Arial" w:ascii="Verdana" w:hAnsi="Verdana"/>
          <w:sz w:val="22"/>
          <w:szCs w:val="22"/>
        </w:rPr>
        <w:t xml:space="preserve"> O recebimento ocorrerá com a verificação integral das características do produto fornecido pela CONTRATADA;</w:t>
      </w:r>
    </w:p>
    <w:p>
      <w:pPr>
        <w:pStyle w:val="Normal"/>
        <w:spacing w:lineRule="auto" w:line="276" w:before="85" w:after="85"/>
        <w:ind w:hanging="0" w:left="0"/>
        <w:jc w:val="both"/>
        <w:rPr/>
      </w:pPr>
      <w:r>
        <w:rPr>
          <w:rFonts w:cs="Arial" w:ascii="Verdana" w:hAnsi="Verdana"/>
          <w:b w:val="false"/>
          <w:bCs w:val="false"/>
          <w:sz w:val="22"/>
          <w:szCs w:val="22"/>
          <w:lang w:val="pt-BR"/>
        </w:rPr>
        <w:t>5</w:t>
      </w:r>
      <w:r>
        <w:rPr>
          <w:rFonts w:cs="Arial" w:ascii="Verdana" w:hAnsi="Verdana"/>
          <w:b w:val="false"/>
          <w:bCs w:val="false"/>
          <w:sz w:val="22"/>
          <w:szCs w:val="22"/>
        </w:rPr>
        <w:t>.</w:t>
      </w:r>
      <w:r>
        <w:rPr>
          <w:rFonts w:cs="Arial" w:ascii="Verdana" w:hAnsi="Verdana"/>
          <w:b w:val="false"/>
          <w:bCs w:val="false"/>
          <w:sz w:val="22"/>
          <w:szCs w:val="22"/>
          <w:lang w:val="pt-BR"/>
        </w:rPr>
        <w:t>5</w:t>
      </w:r>
      <w:r>
        <w:rPr>
          <w:rFonts w:cs="Arial" w:ascii="Verdana" w:hAnsi="Verdana"/>
          <w:sz w:val="22"/>
          <w:szCs w:val="22"/>
        </w:rPr>
        <w:t xml:space="preserve"> O recebimento não isenta a CONTRATADA de responsabilidades futuras quanto à qualidade do</w:t>
      </w:r>
      <w:r>
        <w:rPr>
          <w:rFonts w:cs="Arial" w:ascii="Verdana" w:hAnsi="Verdana"/>
          <w:sz w:val="22"/>
          <w:szCs w:val="22"/>
          <w:lang w:val="pt-BR"/>
        </w:rPr>
        <w:t xml:space="preserve"> material</w:t>
      </w:r>
      <w:r>
        <w:rPr>
          <w:rFonts w:cs="Arial" w:ascii="Verdana" w:hAnsi="Verdana"/>
          <w:sz w:val="22"/>
          <w:szCs w:val="22"/>
        </w:rPr>
        <w:t>.</w:t>
      </w:r>
    </w:p>
    <w:p>
      <w:pPr>
        <w:pStyle w:val="Nivel2"/>
        <w:spacing w:lineRule="auto" w:line="276" w:before="85" w:after="85"/>
        <w:ind w:hanging="0" w:left="0" w:right="0"/>
        <w:rPr/>
      </w:pPr>
      <w:r>
        <w:rPr>
          <w:rFonts w:cs="Times New Roman" w:ascii="Verdana" w:hAnsi="Verdana"/>
          <w:b w:val="false"/>
          <w:bCs w:val="false"/>
          <w:iCs/>
          <w:color w:val="auto"/>
          <w:sz w:val="22"/>
          <w:szCs w:val="22"/>
        </w:rPr>
        <w:t>5.6</w:t>
      </w:r>
      <w:r>
        <w:rPr>
          <w:rFonts w:cs="Times New Roman" w:ascii="Verdana" w:hAnsi="Verdana"/>
          <w:b/>
          <w:bCs/>
          <w:iCs/>
          <w:color w:val="auto"/>
          <w:sz w:val="22"/>
          <w:szCs w:val="22"/>
        </w:rPr>
        <w:t xml:space="preserve">. </w:t>
      </w:r>
      <w:r>
        <w:rPr>
          <w:rFonts w:cs="Times New Roman" w:ascii="Verdana" w:hAnsi="Verdana"/>
          <w:bCs/>
          <w:iCs/>
          <w:color w:val="auto"/>
          <w:sz w:val="22"/>
          <w:szCs w:val="22"/>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Pr>
          <w:rFonts w:cs="Times New Roman" w:ascii="Verdana" w:hAnsi="Verdana"/>
          <w:iCs/>
          <w:color w:val="auto"/>
          <w:sz w:val="22"/>
          <w:szCs w:val="22"/>
        </w:rPr>
        <w:t>força</w:t>
      </w:r>
      <w:r>
        <w:rPr>
          <w:rFonts w:cs="Times New Roman" w:ascii="Verdana" w:hAnsi="Verdana"/>
          <w:bCs/>
          <w:iCs/>
          <w:color w:val="auto"/>
          <w:sz w:val="22"/>
          <w:szCs w:val="22"/>
        </w:rPr>
        <w:t xml:space="preserve"> maior.</w:t>
      </w:r>
    </w:p>
    <w:p>
      <w:pPr>
        <w:pStyle w:val="Nivel2"/>
        <w:spacing w:lineRule="auto" w:line="276" w:before="85" w:after="85"/>
        <w:ind w:hanging="0" w:left="0" w:right="0"/>
        <w:rPr/>
      </w:pPr>
      <w:r>
        <w:rPr>
          <w:rFonts w:cs="Times New Roman" w:ascii="Verdana" w:hAnsi="Verdana"/>
          <w:b w:val="false"/>
          <w:bCs w:val="false"/>
          <w:color w:val="auto"/>
          <w:sz w:val="22"/>
          <w:szCs w:val="22"/>
        </w:rPr>
        <w:t>5.7.</w:t>
      </w:r>
      <w:r>
        <w:rPr>
          <w:rFonts w:cs="Times New Roman" w:ascii="Verdana" w:hAnsi="Verdana"/>
          <w:bCs/>
          <w:color w:val="auto"/>
          <w:sz w:val="22"/>
          <w:szCs w:val="22"/>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pPr>
        <w:pStyle w:val="ListParagraph"/>
        <w:spacing w:lineRule="auto" w:line="276" w:before="85" w:after="85"/>
        <w:ind w:hanging="0" w:left="0" w:right="0"/>
        <w:contextualSpacing w:val="false"/>
        <w:jc w:val="both"/>
        <w:rPr/>
      </w:pPr>
      <w:r>
        <w:rPr>
          <w:rFonts w:ascii="Verdana" w:hAnsi="Verdana"/>
          <w:b w:val="false"/>
          <w:bCs w:val="false"/>
          <w:sz w:val="22"/>
          <w:szCs w:val="22"/>
        </w:rPr>
        <w:t>5.8.</w:t>
      </w:r>
      <w:r>
        <w:rPr>
          <w:rFonts w:ascii="Verdana" w:hAnsi="Verdana"/>
          <w:sz w:val="22"/>
          <w:szCs w:val="22"/>
        </w:rPr>
        <w:t xml:space="preserve"> A conferência </w:t>
      </w:r>
      <w:r>
        <w:rPr>
          <w:rFonts w:eastAsia="Times New Roman" w:cs="Times New Roman" w:ascii="Verdana" w:hAnsi="Verdana"/>
          <w:sz w:val="22"/>
          <w:szCs w:val="22"/>
        </w:rPr>
        <w:t>dos itens</w:t>
      </w:r>
      <w:r>
        <w:rPr>
          <w:rFonts w:ascii="Verdana" w:hAnsi="Verdana"/>
          <w:sz w:val="22"/>
          <w:szCs w:val="22"/>
        </w:rPr>
        <w:t xml:space="preserve"> deverá ser acompanhada por um servidor </w:t>
      </w:r>
      <w:r>
        <w:rPr>
          <w:rFonts w:eastAsia="Times New Roman" w:cs="Times New Roman" w:ascii="Verdana" w:hAnsi="Verdana"/>
          <w:sz w:val="22"/>
          <w:szCs w:val="22"/>
        </w:rPr>
        <w:t>da secretaria requisitante</w:t>
      </w:r>
      <w:r>
        <w:rPr>
          <w:rFonts w:ascii="Verdana" w:hAnsi="Verdana"/>
          <w:sz w:val="22"/>
          <w:szCs w:val="22"/>
        </w:rPr>
        <w:t>, a fim de zelar pela qualidade e quantidade dos itens a serem adquiridos.</w:t>
      </w:r>
    </w:p>
    <w:p>
      <w:pPr>
        <w:pStyle w:val="Nivel2"/>
        <w:spacing w:lineRule="auto" w:line="276" w:before="85" w:after="85"/>
        <w:ind w:hanging="0" w:left="0" w:right="0"/>
        <w:rPr/>
      </w:pPr>
      <w:r>
        <w:rPr>
          <w:rFonts w:cs="Times New Roman" w:ascii="Verdana" w:hAnsi="Verdana"/>
          <w:b w:val="false"/>
          <w:bCs w:val="false"/>
          <w:color w:val="auto"/>
          <w:sz w:val="22"/>
          <w:szCs w:val="22"/>
        </w:rPr>
        <w:t>5.9.</w:t>
      </w:r>
      <w:r>
        <w:rPr>
          <w:rFonts w:cs="Times New Roman" w:ascii="Verdana" w:hAnsi="Verdana"/>
          <w:bCs/>
          <w:color w:val="auto"/>
          <w:sz w:val="22"/>
          <w:szCs w:val="22"/>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76" w:before="85" w:after="85"/>
        <w:ind w:hanging="0" w:left="0" w:right="0"/>
        <w:contextualSpacing w:val="false"/>
        <w:jc w:val="both"/>
        <w:rPr/>
      </w:pPr>
      <w:r>
        <w:rPr>
          <w:rFonts w:ascii="Verdana" w:hAnsi="Verdana"/>
          <w:b w:val="false"/>
          <w:bCs w:val="false"/>
          <w:sz w:val="22"/>
          <w:szCs w:val="22"/>
        </w:rPr>
        <w:t>5.10.</w:t>
      </w:r>
      <w:r>
        <w:rPr>
          <w:rFonts w:ascii="Verdana" w:hAnsi="Verdana"/>
          <w:b/>
          <w:bCs/>
          <w:sz w:val="22"/>
          <w:szCs w:val="22"/>
        </w:rPr>
        <w:t xml:space="preserve"> </w:t>
      </w:r>
      <w:r>
        <w:rPr>
          <w:rFonts w:ascii="Verdana" w:hAnsi="Verdana"/>
          <w:sz w:val="22"/>
          <w:szCs w:val="22"/>
        </w:rPr>
        <w:t xml:space="preserve">O recebimento provisório ou definitivo não excluirá a responsabilidade </w:t>
      </w:r>
      <w:r>
        <w:rPr>
          <w:rFonts w:eastAsia="Times New Roman" w:cs="Times New Roman" w:ascii="Verdana" w:hAnsi="Verdana"/>
          <w:sz w:val="22"/>
          <w:szCs w:val="22"/>
        </w:rPr>
        <w:t>da contratada pelos prejuízos resultantes da incorreta execução do contrato.</w:t>
      </w:r>
    </w:p>
    <w:p>
      <w:pPr>
        <w:pStyle w:val="Nivel2"/>
        <w:spacing w:lineRule="auto" w:line="276" w:before="85" w:after="85"/>
        <w:ind w:hanging="0" w:left="0" w:right="0"/>
        <w:rPr/>
      </w:pPr>
      <w:r>
        <w:rPr>
          <w:rFonts w:cs="Times New Roman" w:ascii="Verdana" w:hAnsi="Verdana"/>
          <w:b w:val="false"/>
          <w:bCs w:val="false"/>
          <w:iCs/>
          <w:color w:val="auto"/>
          <w:sz w:val="22"/>
          <w:szCs w:val="22"/>
        </w:rPr>
        <w:t>5.11. No caso de recusa da entrega do produto pelo fornecedor, a Administração Pública adotará as providências cabíveis, de cordo com a legislação aplicável, visando sanar problemas por ventura ocorridos.</w:t>
      </w:r>
    </w:p>
    <w:p>
      <w:pPr>
        <w:pStyle w:val="Normal"/>
        <w:widowControl/>
        <w:tabs>
          <w:tab w:val="clear" w:pos="708"/>
          <w:tab w:val="left" w:pos="508" w:leader="none"/>
        </w:tabs>
        <w:suppressAutoHyphens w:val="true"/>
        <w:bidi w:val="0"/>
        <w:spacing w:lineRule="auto" w:line="276" w:before="85" w:after="85"/>
        <w:ind w:hanging="0" w:left="0" w:right="0"/>
        <w:jc w:val="both"/>
        <w:rPr/>
      </w:pPr>
      <w:r>
        <w:rPr>
          <w:rFonts w:cs="Times New Roman" w:ascii="Verdana" w:hAnsi="Verdana"/>
          <w:b w:val="false"/>
          <w:bCs w:val="false"/>
          <w:iCs/>
          <w:color w:val="auto"/>
          <w:sz w:val="22"/>
          <w:szCs w:val="22"/>
        </w:rPr>
        <w:t>5.12. Não se verifica contratações correlatas ou interdependentes.</w:t>
      </w:r>
    </w:p>
    <w:p>
      <w:pPr>
        <w:pStyle w:val="Normal"/>
        <w:widowControl/>
        <w:tabs>
          <w:tab w:val="clear" w:pos="708"/>
          <w:tab w:val="left" w:pos="508" w:leader="none"/>
        </w:tabs>
        <w:suppressAutoHyphens w:val="true"/>
        <w:bidi w:val="0"/>
        <w:spacing w:lineRule="auto" w:line="276" w:before="85" w:after="85"/>
        <w:ind w:hanging="0" w:left="0" w:right="0"/>
        <w:jc w:val="both"/>
        <w:rPr>
          <w:rFonts w:ascii="Verdana" w:hAnsi="Verdana" w:cs="Times New Roman"/>
          <w:b w:val="false"/>
          <w:bCs w:val="false"/>
          <w:iCs/>
          <w:color w:val="auto"/>
          <w:sz w:val="22"/>
          <w:szCs w:val="22"/>
        </w:rPr>
      </w:pPr>
      <w:r>
        <w:rPr>
          <w:rFonts w:cs="Times New Roman" w:ascii="Verdana" w:hAnsi="Verdana"/>
          <w:b w:val="false"/>
          <w:bCs w:val="false"/>
          <w:iCs/>
          <w:color w:val="auto"/>
          <w:sz w:val="22"/>
          <w:szCs w:val="22"/>
        </w:rPr>
      </w:r>
    </w:p>
    <w:p>
      <w:pPr>
        <w:pStyle w:val="Normal"/>
        <w:spacing w:lineRule="auto" w:line="276" w:before="85" w:after="85"/>
        <w:ind w:hanging="0" w:left="0" w:right="0"/>
        <w:jc w:val="both"/>
        <w:rPr/>
      </w:pPr>
      <w:r>
        <w:rPr>
          <w:rFonts w:cs="Arial" w:ascii="Verdana" w:hAnsi="Verdana"/>
          <w:b/>
          <w:bCs/>
          <w:i w:val="false"/>
          <w:iCs w:val="false"/>
          <w:color w:val="000000"/>
          <w:sz w:val="22"/>
          <w:szCs w:val="22"/>
          <w:shd w:fill="auto" w:val="clear"/>
        </w:rPr>
        <w:t>6. OBRIGAÇÕES DA CONTRATANTE</w:t>
      </w:r>
    </w:p>
    <w:p>
      <w:pPr>
        <w:pStyle w:val="Normal"/>
        <w:spacing w:lineRule="auto" w:line="276" w:before="85" w:after="85"/>
        <w:ind w:hanging="0" w:left="0" w:right="0"/>
        <w:jc w:val="both"/>
        <w:rPr/>
      </w:pPr>
      <w:r>
        <w:rPr>
          <w:rFonts w:eastAsia="Times New Roman" w:cs="Arial" w:ascii="Verdana" w:hAnsi="Verdana"/>
          <w:b w:val="false"/>
          <w:bCs w:val="false"/>
          <w:i w:val="false"/>
          <w:iCs w:val="false"/>
          <w:color w:val="000000"/>
          <w:sz w:val="22"/>
          <w:szCs w:val="22"/>
        </w:rPr>
        <w:t>6.1. Constituem obrigações da Contratante, além de outras previstas no, Termo de Referência, no Edital e seus anexos:</w:t>
      </w:r>
    </w:p>
    <w:p>
      <w:pPr>
        <w:pStyle w:val="Normal"/>
        <w:spacing w:lineRule="auto" w:line="276" w:before="85" w:after="85"/>
        <w:ind w:hanging="0" w:left="0" w:right="0"/>
        <w:jc w:val="both"/>
        <w:rPr/>
      </w:pPr>
      <w:r>
        <w:rPr>
          <w:rFonts w:eastAsia="Times New Roman" w:cs="Arial" w:ascii="Verdana" w:hAnsi="Verdana"/>
          <w:b w:val="false"/>
          <w:bCs w:val="false"/>
          <w:i w:val="false"/>
          <w:iCs w:val="false"/>
          <w:color w:val="000000"/>
          <w:sz w:val="22"/>
          <w:szCs w:val="22"/>
        </w:rPr>
        <w:t>6.2.  Contratar o serviço no prazo e condições estabelecidas no Edital e seus anexos.</w:t>
      </w:r>
    </w:p>
    <w:p>
      <w:pPr>
        <w:pStyle w:val="Normal"/>
        <w:tabs>
          <w:tab w:val="clear" w:pos="708"/>
          <w:tab w:val="left" w:pos="508" w:leader="none"/>
        </w:tabs>
        <w:spacing w:lineRule="auto" w:line="276" w:before="85" w:after="85"/>
        <w:ind w:hanging="0" w:left="0" w:right="0"/>
        <w:jc w:val="both"/>
        <w:rPr/>
      </w:pPr>
      <w:r>
        <w:rPr>
          <w:rFonts w:eastAsia="Times New Roman" w:cs="Arial" w:ascii="Verdana" w:hAnsi="Verdana"/>
          <w:b w:val="false"/>
          <w:bCs w:val="false"/>
          <w:i w:val="false"/>
          <w:iCs w:val="false"/>
          <w:color w:val="000000"/>
          <w:kern w:val="0"/>
          <w:sz w:val="22"/>
          <w:szCs w:val="22"/>
          <w:lang w:val="pt-BR" w:eastAsia="pt-BR" w:bidi="ar-SA"/>
        </w:rPr>
        <w:t>6.3.</w:t>
      </w:r>
      <w:r>
        <w:rPr>
          <w:rFonts w:eastAsia="Times New Roman" w:cs="Arial" w:ascii="Verdana" w:hAnsi="Verdana"/>
          <w:b w:val="false"/>
          <w:bCs w:val="false"/>
          <w:i w:val="false"/>
          <w:iCs w:val="false"/>
          <w:color w:val="000000"/>
          <w:sz w:val="22"/>
          <w:szCs w:val="22"/>
        </w:rPr>
        <w:t xml:space="preserve"> Verificar a conformidade dos serviços prestados de acordo com as especificações constantes no Contrato, Termo de Referência, Edital e seus anexos.</w:t>
      </w:r>
    </w:p>
    <w:p>
      <w:pPr>
        <w:pStyle w:val="Normal"/>
        <w:tabs>
          <w:tab w:val="clear" w:pos="708"/>
          <w:tab w:val="left" w:pos="508" w:leader="none"/>
        </w:tabs>
        <w:spacing w:lineRule="auto" w:line="276" w:before="85" w:after="85"/>
        <w:ind w:hanging="0" w:left="0" w:right="0"/>
        <w:jc w:val="both"/>
        <w:rPr/>
      </w:pPr>
      <w:r>
        <w:rPr>
          <w:rFonts w:eastAsia="Times New Roman" w:cs="Arial" w:ascii="Verdana" w:hAnsi="Verdana"/>
          <w:b w:val="false"/>
          <w:bCs w:val="false"/>
          <w:i w:val="false"/>
          <w:iCs w:val="false"/>
          <w:color w:val="000000"/>
          <w:kern w:val="0"/>
          <w:sz w:val="22"/>
          <w:szCs w:val="22"/>
          <w:lang w:val="pt-BR" w:eastAsia="pt-BR" w:bidi="ar-SA"/>
        </w:rPr>
        <w:t>6.4.</w:t>
      </w:r>
      <w:r>
        <w:rPr>
          <w:rFonts w:eastAsia="Times New Roman" w:cs="Arial" w:ascii="Verdana" w:hAnsi="Verdana"/>
          <w:b w:val="false"/>
          <w:bCs w:val="false"/>
          <w:i w:val="false"/>
          <w:iCs w:val="false"/>
          <w:color w:val="000000"/>
          <w:sz w:val="22"/>
          <w:szCs w:val="22"/>
        </w:rPr>
        <w:t xml:space="preserve">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76" w:before="85" w:after="85"/>
        <w:ind w:hanging="0" w:left="0" w:right="0"/>
        <w:jc w:val="both"/>
        <w:rPr/>
      </w:pPr>
      <w:r>
        <w:rPr>
          <w:rFonts w:eastAsia="Times New Roman" w:cs="Arial" w:ascii="Verdana" w:hAnsi="Verdana"/>
          <w:b w:val="false"/>
          <w:bCs w:val="false"/>
          <w:i w:val="false"/>
          <w:iCs w:val="false"/>
          <w:color w:val="000000"/>
          <w:kern w:val="0"/>
          <w:sz w:val="22"/>
          <w:szCs w:val="22"/>
          <w:lang w:val="pt-BR" w:eastAsia="pt-BR" w:bidi="ar-SA"/>
        </w:rPr>
        <w:t xml:space="preserve">6.5. </w:t>
      </w:r>
      <w:r>
        <w:rPr>
          <w:rFonts w:eastAsia="Times New Roman" w:cs="Arial" w:ascii="Verdana" w:hAnsi="Verdana"/>
          <w:b w:val="false"/>
          <w:bCs w:val="false"/>
          <w:i w:val="false"/>
          <w:iCs w:val="false"/>
          <w:color w:val="000000"/>
          <w:sz w:val="22"/>
          <w:szCs w:val="22"/>
        </w:rPr>
        <w:t xml:space="preserve"> Acompanhar e fiscalizar o cumprimento das obrigações da Contratada.</w:t>
      </w:r>
    </w:p>
    <w:p>
      <w:pPr>
        <w:pStyle w:val="Normal"/>
        <w:tabs>
          <w:tab w:val="clear" w:pos="708"/>
          <w:tab w:val="left" w:pos="508" w:leader="none"/>
        </w:tabs>
        <w:spacing w:lineRule="auto" w:line="276" w:before="85" w:after="85"/>
        <w:ind w:hanging="0" w:left="0" w:right="0"/>
        <w:jc w:val="both"/>
        <w:rPr/>
      </w:pPr>
      <w:r>
        <w:rPr>
          <w:rFonts w:eastAsia="Times New Roman" w:cs="Arial" w:ascii="Verdana" w:hAnsi="Verdana"/>
          <w:b w:val="false"/>
          <w:bCs w:val="false"/>
          <w:i w:val="false"/>
          <w:iCs w:val="false"/>
          <w:color w:val="000000"/>
          <w:kern w:val="0"/>
          <w:sz w:val="22"/>
          <w:szCs w:val="22"/>
          <w:lang w:val="pt-BR" w:eastAsia="pt-BR" w:bidi="ar-SA"/>
        </w:rPr>
        <w:t>6.6.</w:t>
      </w:r>
      <w:r>
        <w:rPr>
          <w:rFonts w:eastAsia="Times New Roman" w:cs="Arial" w:ascii="Verdana" w:hAnsi="Verdana"/>
          <w:b w:val="false"/>
          <w:bCs w:val="false"/>
          <w:i w:val="false"/>
          <w:iCs w:val="false"/>
          <w:color w:val="000000"/>
          <w:sz w:val="22"/>
          <w:szCs w:val="22"/>
        </w:rPr>
        <w:t xml:space="preserve"> Efetuar o pagamento à Contratada no valor correspondente à prestação do objeto, no prazo e forma estabelecidos no Edital e seus anexo. </w:t>
      </w:r>
    </w:p>
    <w:p>
      <w:pPr>
        <w:pStyle w:val="Normal"/>
        <w:tabs>
          <w:tab w:val="clear" w:pos="708"/>
          <w:tab w:val="left" w:pos="508" w:leader="none"/>
        </w:tabs>
        <w:spacing w:lineRule="auto" w:line="276" w:before="85" w:after="85"/>
        <w:ind w:hanging="0" w:left="0" w:right="0"/>
        <w:jc w:val="both"/>
        <w:rPr/>
      </w:pPr>
      <w:r>
        <w:rPr>
          <w:rFonts w:eastAsia="Times New Roman" w:cs="Arial" w:ascii="Verdana" w:hAnsi="Verdana"/>
          <w:b w:val="false"/>
          <w:bCs w:val="false"/>
          <w:i w:val="false"/>
          <w:iCs w:val="false"/>
          <w:color w:val="000000"/>
          <w:kern w:val="0"/>
          <w:sz w:val="22"/>
          <w:szCs w:val="22"/>
          <w:lang w:val="pt-BR" w:eastAsia="pt-BR" w:bidi="ar-SA"/>
        </w:rPr>
        <w:t>6.7.</w:t>
      </w:r>
      <w:r>
        <w:rPr>
          <w:rFonts w:eastAsia="Times New Roman" w:cs="Arial" w:ascii="Verdana" w:hAnsi="Verdana"/>
          <w:b w:val="false"/>
          <w:bCs w:val="false"/>
          <w:i w:val="false"/>
          <w:iCs w:val="false"/>
          <w:color w:val="000000"/>
          <w:sz w:val="22"/>
          <w:szCs w:val="22"/>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spacing w:lineRule="auto" w:line="276" w:before="85" w:after="85"/>
        <w:ind w:hanging="0" w:left="0"/>
        <w:jc w:val="both"/>
        <w:rPr/>
      </w:pPr>
      <w:r>
        <w:rPr>
          <w:rFonts w:cs="Arial" w:ascii="Verdana" w:hAnsi="Verdana"/>
          <w:b w:val="false"/>
          <w:bCs w:val="false"/>
          <w:sz w:val="22"/>
          <w:szCs w:val="22"/>
          <w:lang w:val="pt-BR"/>
        </w:rPr>
        <w:t xml:space="preserve">6.8. </w:t>
      </w:r>
      <w:r>
        <w:rPr>
          <w:rFonts w:cs="Arial" w:ascii="Verdana" w:hAnsi="Verdana"/>
          <w:b w:val="false"/>
          <w:bCs w:val="false"/>
          <w:sz w:val="22"/>
          <w:szCs w:val="22"/>
        </w:rPr>
        <w:t>Disponibilizar o local para execução dos serviços.</w:t>
      </w:r>
    </w:p>
    <w:p>
      <w:pPr>
        <w:pStyle w:val="Normal"/>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 xml:space="preserve">6.9. </w:t>
      </w:r>
      <w:r>
        <w:rPr>
          <w:rFonts w:cs="Arial" w:ascii="Verdana" w:hAnsi="Verdana"/>
          <w:b w:val="false"/>
          <w:bCs w:val="false"/>
          <w:sz w:val="22"/>
          <w:szCs w:val="22"/>
        </w:rPr>
        <w:t>P</w:t>
      </w:r>
      <w:r>
        <w:rPr>
          <w:rFonts w:cs="Arial" w:ascii="Verdana" w:hAnsi="Verdana"/>
          <w:sz w:val="22"/>
          <w:szCs w:val="22"/>
        </w:rPr>
        <w:t>restar informações e os esclarecimentos solicitados pela empresa, relacionados com o objeto pactuado.</w:t>
      </w:r>
    </w:p>
    <w:p>
      <w:pPr>
        <w:pStyle w:val="Normal"/>
        <w:spacing w:lineRule="auto" w:line="276" w:before="85" w:after="85"/>
        <w:ind w:hanging="0" w:left="0"/>
        <w:jc w:val="both"/>
        <w:rPr>
          <w:rFonts w:ascii="Verdana" w:hAnsi="Verdana" w:cs="Arial"/>
          <w:b/>
          <w:sz w:val="22"/>
          <w:szCs w:val="22"/>
          <w:u w:val="single"/>
        </w:rPr>
      </w:pPr>
      <w:r>
        <w:rPr>
          <w:rFonts w:cs="Arial" w:ascii="Verdana" w:hAnsi="Verdana"/>
          <w:b/>
          <w:sz w:val="22"/>
          <w:szCs w:val="22"/>
          <w:u w:val="single"/>
        </w:rPr>
      </w:r>
    </w:p>
    <w:p>
      <w:pPr>
        <w:pStyle w:val="Normal"/>
        <w:spacing w:lineRule="auto" w:line="276" w:before="85" w:after="85"/>
        <w:ind w:hanging="0" w:left="0" w:right="0"/>
        <w:jc w:val="both"/>
        <w:rPr/>
      </w:pPr>
      <w:r>
        <w:rPr>
          <w:rFonts w:cs="Arial" w:ascii="Verdana" w:hAnsi="Verdana"/>
          <w:b/>
          <w:bCs/>
          <w:i w:val="false"/>
          <w:iCs w:val="false"/>
          <w:color w:val="000000"/>
          <w:sz w:val="22"/>
          <w:szCs w:val="22"/>
          <w:shd w:fill="auto" w:val="clear"/>
        </w:rPr>
        <w:t>7. OBRIGAÇÕES DA CONTRATADA</w:t>
      </w:r>
    </w:p>
    <w:p>
      <w:pPr>
        <w:pStyle w:val="Normal"/>
        <w:spacing w:lineRule="auto" w:line="276" w:before="85" w:after="85"/>
        <w:ind w:hanging="0" w:left="0" w:right="0"/>
        <w:jc w:val="both"/>
        <w:rPr/>
      </w:pPr>
      <w:r>
        <w:rPr>
          <w:rFonts w:cs="Arial" w:ascii="Verdana" w:hAnsi="Verdana"/>
          <w:b w:val="false"/>
          <w:bCs w:val="false"/>
          <w:i w:val="false"/>
          <w:iCs w:val="false"/>
          <w:color w:val="000000"/>
          <w:sz w:val="22"/>
          <w:szCs w:val="22"/>
          <w:shd w:fill="auto" w:val="clear"/>
        </w:rPr>
        <w:t>7.1. A Contratada deve cumprir todas as obrigações constantes no Contrato, neste Termo de Referência, seus anexos e sua proposta, assumindo como exclusivamente seus os riscos e as despesas decorrentes da boa e perfeita execução do objeto.</w:t>
      </w:r>
    </w:p>
    <w:p>
      <w:pPr>
        <w:pStyle w:val="Normal"/>
        <w:spacing w:lineRule="auto" w:line="276" w:before="85" w:after="85"/>
        <w:ind w:hanging="0" w:left="0" w:right="0"/>
        <w:jc w:val="both"/>
        <w:rPr/>
      </w:pPr>
      <w:r>
        <w:rPr>
          <w:rFonts w:cs="Arial" w:ascii="Verdana" w:hAnsi="Verdana"/>
          <w:b w:val="false"/>
          <w:bCs w:val="false"/>
          <w:i w:val="false"/>
          <w:iCs w:val="false"/>
          <w:color w:val="000000"/>
          <w:sz w:val="22"/>
          <w:szCs w:val="22"/>
          <w:shd w:fill="auto" w:val="clear"/>
        </w:rPr>
        <w:t xml:space="preserve">7.2. Efetuar </w:t>
      </w:r>
      <w:r>
        <w:rPr>
          <w:rFonts w:eastAsia="Times New Roman" w:cs="Arial" w:ascii="Verdana" w:hAnsi="Verdana"/>
          <w:b w:val="false"/>
          <w:bCs w:val="false"/>
          <w:i w:val="false"/>
          <w:iCs w:val="false"/>
          <w:color w:val="000000"/>
          <w:kern w:val="0"/>
          <w:sz w:val="22"/>
          <w:szCs w:val="22"/>
          <w:shd w:fill="auto" w:val="clear"/>
          <w:lang w:val="pt-BR" w:eastAsia="pt-BR" w:bidi="ar-SA"/>
        </w:rPr>
        <w:t xml:space="preserve">a entrega, instalação e </w:t>
      </w:r>
      <w:r>
        <w:rPr>
          <w:rFonts w:cs="Arial" w:ascii="Verdana" w:hAnsi="Verdana"/>
          <w:b w:val="false"/>
          <w:bCs w:val="false"/>
          <w:i w:val="false"/>
          <w:iCs w:val="false"/>
          <w:color w:val="000000"/>
          <w:sz w:val="22"/>
          <w:szCs w:val="22"/>
          <w:shd w:fill="auto" w:val="clear"/>
        </w:rPr>
        <w:t>demais serviços, conforme especificações, prazo e local constantes no Termo de Referência e seus anexos, acompanhado da respectiva nota fiscal.</w:t>
      </w:r>
    </w:p>
    <w:p>
      <w:pPr>
        <w:pStyle w:val="Normal"/>
        <w:tabs>
          <w:tab w:val="clear" w:pos="708"/>
          <w:tab w:val="left" w:pos="5220"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7.3.</w:t>
      </w:r>
      <w:r>
        <w:rPr>
          <w:rFonts w:cs="Arial" w:ascii="Verdana" w:hAnsi="Verdana"/>
          <w:b w:val="false"/>
          <w:bCs w:val="false"/>
          <w:sz w:val="22"/>
          <w:szCs w:val="22"/>
          <w:lang w:val="pt-BR"/>
        </w:rPr>
        <w:t xml:space="preserve"> </w:t>
      </w:r>
      <w:r>
        <w:rPr>
          <w:rFonts w:cs="Arial" w:ascii="Verdana" w:hAnsi="Verdana"/>
          <w:b w:val="false"/>
          <w:bCs w:val="false"/>
          <w:sz w:val="22"/>
          <w:szCs w:val="22"/>
        </w:rPr>
        <w:t>Apresentar os documentos de cobrança, inclusive NOTA FISCAL, com a descrição dos serviços realizados.</w:t>
      </w:r>
    </w:p>
    <w:p>
      <w:pPr>
        <w:pStyle w:val="Normal"/>
        <w:tabs>
          <w:tab w:val="clear" w:pos="708"/>
          <w:tab w:val="left" w:pos="142"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7.4.</w:t>
      </w:r>
      <w:r>
        <w:rPr>
          <w:rFonts w:cs="Arial" w:ascii="Verdana" w:hAnsi="Verdana"/>
          <w:b w:val="false"/>
          <w:bCs w:val="false"/>
          <w:sz w:val="22"/>
          <w:szCs w:val="22"/>
          <w:lang w:val="pt-BR"/>
        </w:rPr>
        <w:t xml:space="preserve"> </w:t>
      </w:r>
      <w:r>
        <w:rPr>
          <w:rFonts w:cs="Arial" w:ascii="Verdana" w:hAnsi="Verdana"/>
          <w:b w:val="false"/>
          <w:bCs w:val="false"/>
          <w:sz w:val="22"/>
          <w:szCs w:val="22"/>
        </w:rPr>
        <w:t>Assumir inteira responsabilidade civil, administrativa e penal por quaisquer danos e prejuízos, aos equipamentos ou pessoas, causados pela CONTRATADA, seus empregados, ou prepostos à CONTRATANTE ou a terceiros.</w:t>
      </w:r>
    </w:p>
    <w:p>
      <w:pPr>
        <w:pStyle w:val="Normal"/>
        <w:tabs>
          <w:tab w:val="clear" w:pos="708"/>
          <w:tab w:val="left" w:pos="142"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7.5.</w:t>
      </w:r>
      <w:r>
        <w:rPr>
          <w:rFonts w:cs="Arial" w:ascii="Verdana" w:hAnsi="Verdana"/>
          <w:b w:val="false"/>
          <w:bCs w:val="false"/>
          <w:sz w:val="22"/>
          <w:szCs w:val="22"/>
          <w:lang w:val="pt-BR"/>
        </w:rPr>
        <w:t xml:space="preserve"> </w:t>
      </w:r>
      <w:r>
        <w:rPr>
          <w:rFonts w:cs="Arial" w:ascii="Verdana" w:hAnsi="Verdana"/>
          <w:b w:val="false"/>
          <w:bCs w:val="false"/>
          <w:sz w:val="22"/>
          <w:szCs w:val="22"/>
        </w:rPr>
        <w:t>Obriga-se a CONTRATADA, mediante solicitação da CONTRATANTE, a orçar previamente eventual execução de serviços não cobertos pelo objeto do Contrato.</w:t>
      </w:r>
    </w:p>
    <w:p>
      <w:pPr>
        <w:pStyle w:val="Normal"/>
        <w:tabs>
          <w:tab w:val="clear" w:pos="708"/>
          <w:tab w:val="left" w:pos="142"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 xml:space="preserve">7.6. </w:t>
      </w:r>
      <w:r>
        <w:rPr>
          <w:rFonts w:cs="Arial" w:ascii="Verdana" w:hAnsi="Verdana"/>
          <w:b w:val="false"/>
          <w:bCs w:val="false"/>
          <w:sz w:val="22"/>
          <w:szCs w:val="22"/>
        </w:rPr>
        <w:t>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pPr>
        <w:pStyle w:val="Normal"/>
        <w:tabs>
          <w:tab w:val="clear" w:pos="708"/>
          <w:tab w:val="left" w:pos="142"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 xml:space="preserve">7.7. </w:t>
      </w:r>
      <w:r>
        <w:rPr>
          <w:rFonts w:cs="Arial" w:ascii="Verdana" w:hAnsi="Verdana"/>
          <w:b w:val="false"/>
          <w:bCs w:val="false"/>
          <w:sz w:val="22"/>
          <w:szCs w:val="22"/>
        </w:rPr>
        <w:t>Manter durante a vigência da contratação/aquisição todas as condições de habilitação e qualificação exigidas pela legislação em vigor.</w:t>
      </w:r>
    </w:p>
    <w:p>
      <w:pPr>
        <w:pStyle w:val="Normal"/>
        <w:tabs>
          <w:tab w:val="clear" w:pos="708"/>
          <w:tab w:val="left" w:pos="142"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 xml:space="preserve">7.8. </w:t>
      </w:r>
      <w:r>
        <w:rPr>
          <w:rFonts w:cs="Arial" w:ascii="Verdana" w:hAnsi="Verdana"/>
          <w:b w:val="false"/>
          <w:bCs w:val="false"/>
          <w:sz w:val="22"/>
          <w:szCs w:val="22"/>
        </w:rPr>
        <w:t>Providenciar a colocação, em tempo hábil, de todos os materiais e equipamentos necessários ao andamento dos serviços, dentro da programação prevista; o equipamento deve ser de nível tecnológico adequado e em prefeita condição de funcionament</w:t>
      </w:r>
      <w:r>
        <w:rPr>
          <w:rFonts w:cs="Arial" w:ascii="Verdana" w:hAnsi="Verdana"/>
          <w:sz w:val="22"/>
          <w:szCs w:val="22"/>
        </w:rPr>
        <w:t>o.</w:t>
      </w:r>
    </w:p>
    <w:p>
      <w:pPr>
        <w:pStyle w:val="Normal"/>
        <w:tabs>
          <w:tab w:val="clear" w:pos="708"/>
          <w:tab w:val="left" w:pos="142"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7.9</w:t>
      </w:r>
      <w:r>
        <w:rPr>
          <w:rFonts w:eastAsia="Times New Roman" w:cs="Arial" w:ascii="Verdana" w:hAnsi="Verdana"/>
          <w:b/>
          <w:bCs/>
          <w:color w:val="auto"/>
          <w:kern w:val="0"/>
          <w:sz w:val="22"/>
          <w:szCs w:val="22"/>
          <w:lang w:val="pt-BR" w:eastAsia="pt-BR" w:bidi="ar-SA"/>
        </w:rPr>
        <w:t xml:space="preserve">.  </w:t>
      </w:r>
      <w:r>
        <w:rPr>
          <w:rFonts w:cs="Arial" w:ascii="Verdana" w:hAnsi="Verdana"/>
          <w:sz w:val="22"/>
          <w:szCs w:val="22"/>
        </w:rPr>
        <w:t>Cumprir e fazer cumprir os dispositivos legais pertinentes aos elementos de defesa e preservação do meio ambiente relativamente às legislações em nível federal, estadual e municipal.</w:t>
      </w:r>
    </w:p>
    <w:p>
      <w:pPr>
        <w:pStyle w:val="Normal"/>
        <w:tabs>
          <w:tab w:val="clear" w:pos="708"/>
          <w:tab w:val="left" w:pos="142"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 xml:space="preserve">7.10. </w:t>
      </w:r>
      <w:r>
        <w:rPr>
          <w:rFonts w:cs="Arial" w:ascii="Verdana" w:hAnsi="Verdana"/>
          <w:sz w:val="22"/>
          <w:szCs w:val="22"/>
        </w:rPr>
        <w:t>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pPr>
        <w:pStyle w:val="Normal"/>
        <w:tabs>
          <w:tab w:val="clear" w:pos="708"/>
          <w:tab w:val="left" w:pos="142"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 xml:space="preserve">7.11. </w:t>
      </w:r>
      <w:r>
        <w:rPr>
          <w:rFonts w:cs="Arial" w:ascii="Verdana" w:hAnsi="Verdana"/>
          <w:b w:val="false"/>
          <w:bCs w:val="false"/>
          <w:sz w:val="22"/>
          <w:szCs w:val="22"/>
        </w:rPr>
        <w:t>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pPr>
        <w:pStyle w:val="Normal"/>
        <w:tabs>
          <w:tab w:val="clear" w:pos="708"/>
          <w:tab w:val="left" w:pos="142"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 xml:space="preserve">7.12. </w:t>
      </w:r>
      <w:r>
        <w:rPr>
          <w:rFonts w:cs="Arial" w:ascii="Verdana" w:hAnsi="Verdana"/>
          <w:b w:val="false"/>
          <w:bCs w:val="false"/>
          <w:sz w:val="22"/>
          <w:szCs w:val="22"/>
          <w:lang w:val="pt-BR"/>
        </w:rPr>
        <w:t xml:space="preserve"> </w:t>
      </w:r>
      <w:r>
        <w:rPr>
          <w:rFonts w:cs="Arial" w:ascii="Verdana" w:hAnsi="Verdana"/>
          <w:b w:val="false"/>
          <w:bCs w:val="false"/>
          <w:sz w:val="22"/>
          <w:szCs w:val="22"/>
        </w:rPr>
        <w:t>Manter-se plenamente de acordo com os preceitos legais pertinentes à segurança do trabalho, adotando sempre as melhores normas técnicas de segurança e saúde aos profissionais que estarão atuando na execução do objeto do contrato.</w:t>
      </w:r>
    </w:p>
    <w:p>
      <w:pPr>
        <w:pStyle w:val="Normal"/>
        <w:tabs>
          <w:tab w:val="clear" w:pos="708"/>
          <w:tab w:val="left" w:pos="142"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7.13.</w:t>
      </w:r>
      <w:r>
        <w:rPr>
          <w:rFonts w:cs="Arial" w:ascii="Verdana" w:hAnsi="Verdana"/>
          <w:b w:val="false"/>
          <w:bCs w:val="false"/>
          <w:sz w:val="22"/>
          <w:szCs w:val="22"/>
          <w:lang w:val="pt-BR"/>
        </w:rPr>
        <w:t xml:space="preserve"> </w:t>
      </w:r>
      <w:r>
        <w:rPr>
          <w:rFonts w:cs="Arial" w:ascii="Verdana" w:hAnsi="Verdana"/>
          <w:b w:val="false"/>
          <w:bCs w:val="false"/>
          <w:sz w:val="22"/>
          <w:szCs w:val="22"/>
        </w:rPr>
        <w:t xml:space="preserve">Executar o objeto desta </w:t>
      </w:r>
      <w:r>
        <w:rPr>
          <w:rFonts w:eastAsia="Times New Roman" w:cs="Arial" w:ascii="Verdana" w:hAnsi="Verdana"/>
          <w:b w:val="false"/>
          <w:bCs w:val="false"/>
          <w:color w:val="auto"/>
          <w:kern w:val="0"/>
          <w:sz w:val="22"/>
          <w:szCs w:val="22"/>
          <w:lang w:val="pt-BR" w:eastAsia="pt-BR" w:bidi="ar-SA"/>
        </w:rPr>
        <w:t>contratação</w:t>
      </w:r>
      <w:r>
        <w:rPr>
          <w:rFonts w:cs="Arial" w:ascii="Verdana" w:hAnsi="Verdana"/>
          <w:b w:val="false"/>
          <w:bCs w:val="false"/>
          <w:sz w:val="22"/>
          <w:szCs w:val="22"/>
        </w:rPr>
        <w:t xml:space="preserve"> de acordo com a melhor técnica e nos padrões de segurança;</w:t>
      </w:r>
    </w:p>
    <w:p>
      <w:pPr>
        <w:pStyle w:val="Normal"/>
        <w:tabs>
          <w:tab w:val="clear" w:pos="708"/>
          <w:tab w:val="left" w:pos="142" w:leader="none"/>
        </w:tabs>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7.14</w:t>
      </w:r>
      <w:r>
        <w:rPr>
          <w:rFonts w:eastAsia="Times New Roman" w:cs="Arial" w:ascii="Verdana" w:hAnsi="Verdana"/>
          <w:b w:val="false"/>
          <w:bCs w:val="false"/>
          <w:i w:val="false"/>
          <w:iCs w:val="false"/>
          <w:color w:val="000000"/>
          <w:sz w:val="22"/>
          <w:szCs w:val="22"/>
        </w:rPr>
        <w:t xml:space="preserve">. </w:t>
      </w:r>
      <w:r>
        <w:rPr>
          <w:rFonts w:cs="Arial" w:ascii="Verdana" w:hAnsi="Verdana"/>
          <w:b w:val="false"/>
          <w:bCs w:val="false"/>
          <w:i w:val="false"/>
          <w:iCs w:val="false"/>
          <w:color w:val="000000"/>
          <w:sz w:val="22"/>
          <w:szCs w:val="22"/>
        </w:rPr>
        <w:t>A nota fiscal deverá ser acompanhada pelas Certidões de Regularidades Fiscais.</w:t>
      </w:r>
    </w:p>
    <w:p>
      <w:pPr>
        <w:pStyle w:val="Normal"/>
        <w:tabs>
          <w:tab w:val="clear" w:pos="708"/>
          <w:tab w:val="left" w:pos="142" w:leader="none"/>
        </w:tabs>
        <w:spacing w:lineRule="auto" w:line="276" w:before="85" w:after="85"/>
        <w:ind w:hanging="0" w:left="0"/>
        <w:jc w:val="both"/>
        <w:rPr>
          <w:rFonts w:ascii="Verdana" w:hAnsi="Verdana" w:cs="Arial"/>
          <w:b w:val="false"/>
          <w:bCs w:val="false"/>
          <w:i w:val="false"/>
          <w:i w:val="false"/>
          <w:iCs w:val="false"/>
          <w:color w:val="000000"/>
          <w:sz w:val="22"/>
          <w:szCs w:val="22"/>
        </w:rPr>
      </w:pPr>
      <w:r>
        <w:rPr/>
      </w:r>
    </w:p>
    <w:p>
      <w:pPr>
        <w:pStyle w:val="Normal"/>
        <w:spacing w:lineRule="auto" w:line="276" w:before="85" w:after="85"/>
        <w:ind w:hanging="0" w:left="0" w:right="0"/>
        <w:jc w:val="both"/>
        <w:rPr/>
      </w:pPr>
      <w:r>
        <w:rPr>
          <w:rFonts w:ascii="Verdana" w:hAnsi="Verdana"/>
          <w:b/>
          <w:bCs/>
          <w:sz w:val="22"/>
          <w:szCs w:val="22"/>
        </w:rPr>
        <w:t>8. CRITÉRIOS DE PAGAMENTO</w:t>
      </w:r>
    </w:p>
    <w:p>
      <w:pPr>
        <w:pStyle w:val="Normal"/>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8.1.</w:t>
      </w:r>
      <w:r>
        <w:rPr>
          <w:rFonts w:eastAsia="Times New Roman" w:cs="Arial" w:ascii="Verdana" w:hAnsi="Verdana"/>
          <w:b w:val="false"/>
          <w:bCs w:val="false"/>
          <w:color w:val="auto"/>
          <w:kern w:val="0"/>
          <w:sz w:val="22"/>
          <w:szCs w:val="22"/>
          <w:lang w:val="pt-BR" w:eastAsia="en-US" w:bidi="ar-SA"/>
        </w:rPr>
        <w:t xml:space="preserve"> Recebida a Nota Fiscal ou documento de cobrança equivalente, correrá o prazo de </w:t>
      </w:r>
      <w:r>
        <w:rPr>
          <w:rFonts w:eastAsia="Times New Roman" w:cs="Times New Roman" w:ascii="Verdana" w:hAnsi="Verdana"/>
          <w:b w:val="false"/>
          <w:bCs w:val="false"/>
          <w:color w:val="auto"/>
          <w:kern w:val="0"/>
          <w:sz w:val="22"/>
          <w:szCs w:val="22"/>
          <w:lang w:val="pt-BR" w:eastAsia="en-US" w:bidi="ar-SA"/>
        </w:rPr>
        <w:t>(30) trinta</w:t>
      </w:r>
      <w:r>
        <w:rPr>
          <w:rFonts w:eastAsia="Times New Roman" w:cs="Arial" w:ascii="Verdana" w:hAnsi="Verdana"/>
          <w:b w:val="false"/>
          <w:bCs w:val="false"/>
          <w:color w:val="auto"/>
          <w:kern w:val="0"/>
          <w:sz w:val="22"/>
          <w:szCs w:val="22"/>
          <w:lang w:val="pt-BR" w:eastAsia="en-US" w:bidi="ar-SA"/>
        </w:rPr>
        <w:t xml:space="preserve"> dias úteis para fins de liquidação, na forma desta seção, prorrogáveis por igual período.</w:t>
      </w:r>
    </w:p>
    <w:p>
      <w:pPr>
        <w:pStyle w:val="Normal"/>
        <w:spacing w:lineRule="auto" w:line="276" w:before="85" w:after="85"/>
        <w:ind w:hanging="0" w:left="0" w:right="0"/>
        <w:jc w:val="both"/>
        <w:rPr/>
      </w:pPr>
      <w:r>
        <w:rPr>
          <w:rFonts w:ascii="Verdana" w:hAnsi="Verdana"/>
          <w:b w:val="false"/>
          <w:bCs w:val="false"/>
          <w:sz w:val="22"/>
          <w:szCs w:val="22"/>
        </w:rPr>
        <w:t xml:space="preserve">8.2.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0"/>
          <w:sz w:val="22"/>
          <w:u w:val="none"/>
          <w:b w:val="false"/>
          <w:szCs w:val="22"/>
          <w:bCs w:val="false"/>
          <w:rFonts w:ascii="Verdana" w:hAnsi="Verdana"/>
          <w:color w:val="000000"/>
        </w:rPr>
        <w:instrText xml:space="preserve"> HYPERLINK "http://www.planalto.gov.br/ccivil_03/_ato2019-2022/2021/lei/L14133.htm" \l "art75"</w:instrText>
      </w:r>
      <w:r>
        <w:rPr>
          <w:rStyle w:val="ListLabel10"/>
          <w:sz w:val="22"/>
          <w:u w:val="none"/>
          <w:b w:val="false"/>
          <w:szCs w:val="22"/>
          <w:bCs w:val="false"/>
          <w:rFonts w:ascii="Verdana" w:hAnsi="Verdana"/>
          <w:color w:val="000000"/>
        </w:rPr>
        <w:fldChar w:fldCharType="separate"/>
      </w:r>
      <w:r>
        <w:rPr>
          <w:rStyle w:val="ListLabel10"/>
          <w:rFonts w:ascii="Verdana" w:hAnsi="Verdana"/>
          <w:b w:val="false"/>
          <w:bCs w:val="false"/>
          <w:color w:val="000000"/>
          <w:sz w:val="22"/>
          <w:szCs w:val="22"/>
          <w:u w:val="none"/>
        </w:rPr>
        <w:t>inciso II do art. 75 da Lei nº 14.133, de 2021</w:t>
      </w:r>
      <w:r>
        <w:rPr>
          <w:rStyle w:val="ListLabel10"/>
          <w:sz w:val="22"/>
          <w:u w:val="none"/>
          <w:b w:val="false"/>
          <w:szCs w:val="22"/>
          <w:bCs w:val="false"/>
          <w:rFonts w:ascii="Verdana" w:hAnsi="Verdana"/>
          <w:color w:val="000000"/>
        </w:rPr>
        <w:fldChar w:fldCharType="end"/>
      </w:r>
      <w:r>
        <w:rPr>
          <w:rFonts w:ascii="Verdana" w:hAnsi="Verdana"/>
          <w:b w:val="false"/>
          <w:bCs w:val="false"/>
          <w:color w:val="000000"/>
          <w:sz w:val="22"/>
          <w:szCs w:val="22"/>
          <w:u w:val="none"/>
        </w:rPr>
        <w:t>.</w:t>
      </w:r>
    </w:p>
    <w:p>
      <w:pPr>
        <w:pStyle w:val="Normal"/>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 xml:space="preserve">8.3. Para fins de liquidação, o setor competente deverá verificar se a nota fiscal ou instrumento de cobrança equivalente apresentado expressa os elementos necessários e essenciais do documento, tais como: </w:t>
      </w:r>
      <w:r>
        <w:rPr>
          <w:rFonts w:cs="Arial" w:ascii="Verdana" w:hAnsi="Verdana"/>
          <w:sz w:val="22"/>
          <w:szCs w:val="22"/>
        </w:rPr>
        <w:t>O pagamento será efetuado pela Contratante após cada medição de acordo com o Cronograma Físico-Financeiro, mediante Requerimento protocolado pela Contratada no protocolo geral desta Prefeitura Municipal, no valor correspondente aos serviços executados.</w:t>
      </w:r>
    </w:p>
    <w:p>
      <w:pPr>
        <w:pStyle w:val="Normal"/>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8.4.</w:t>
      </w:r>
      <w:r>
        <w:rPr>
          <w:rFonts w:cs="Arial" w:ascii="Verdana" w:hAnsi="Verdana"/>
          <w:b w:val="false"/>
          <w:bCs w:val="false"/>
          <w:sz w:val="22"/>
          <w:szCs w:val="22"/>
        </w:rPr>
        <w:t xml:space="preserve">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pPr>
        <w:pStyle w:val="Normal"/>
        <w:spacing w:lineRule="auto" w:line="276" w:before="85" w:after="85"/>
        <w:ind w:hanging="0" w:left="0"/>
        <w:jc w:val="both"/>
        <w:rPr/>
      </w:pPr>
      <w:r>
        <w:rPr>
          <w:rFonts w:eastAsia="Times New Roman" w:cs="Arial" w:ascii="Verdana" w:hAnsi="Verdana"/>
          <w:b w:val="false"/>
          <w:bCs w:val="false"/>
          <w:color w:val="auto"/>
          <w:kern w:val="0"/>
          <w:sz w:val="22"/>
          <w:szCs w:val="22"/>
          <w:lang w:val="pt-BR" w:eastAsia="pt-BR" w:bidi="ar-SA"/>
        </w:rPr>
        <w:t>8.5.</w:t>
      </w:r>
      <w:r>
        <w:rPr>
          <w:rFonts w:cs="Arial" w:ascii="Verdana" w:hAnsi="Verdana"/>
          <w:b w:val="false"/>
          <w:bCs w:val="false"/>
          <w:sz w:val="22"/>
          <w:szCs w:val="22"/>
        </w:rPr>
        <w:t xml:space="preserve"> Os pagamentos serão efetuados mediante termo de aprovação fornecido pela Secr</w:t>
      </w:r>
      <w:r>
        <w:rPr>
          <w:rFonts w:cs="Arial" w:ascii="Verdana" w:hAnsi="Verdana"/>
          <w:sz w:val="22"/>
          <w:szCs w:val="22"/>
        </w:rPr>
        <w:t>etaria Municipal de Obras e Desenvolvimento Urbano juntamente com a Secretaria Municipal de Educação e liberação do recurso financeiro.</w:t>
      </w:r>
    </w:p>
    <w:p>
      <w:pPr>
        <w:pStyle w:val="Normal"/>
        <w:spacing w:lineRule="auto" w:line="276" w:before="85" w:after="85"/>
        <w:ind w:hanging="0" w:left="0" w:right="0"/>
        <w:jc w:val="both"/>
        <w:rPr/>
      </w:pPr>
      <w:r>
        <w:rPr>
          <w:rFonts w:cs="Arial" w:ascii="Verdana" w:hAnsi="Verdana"/>
          <w:b w:val="false"/>
          <w:bCs w:val="false"/>
          <w:sz w:val="22"/>
          <w:szCs w:val="22"/>
        </w:rPr>
        <w:t>8.6. Ocorrendo erros na apresentação da Nota Fiscal, a mesma será devolvida à Contratada para correção, ficando estabelecido que o prazo para pagamento será contado a partir da data de apresentação da nova fatura devidamente corrigida.</w:t>
      </w:r>
    </w:p>
    <w:p>
      <w:pPr>
        <w:pStyle w:val="Normal"/>
        <w:tabs>
          <w:tab w:val="clear" w:pos="708"/>
          <w:tab w:val="left" w:pos="563" w:leader="none"/>
        </w:tabs>
        <w:spacing w:lineRule="auto" w:line="276" w:before="85" w:after="85"/>
        <w:ind w:hanging="0" w:left="0" w:right="0"/>
        <w:jc w:val="both"/>
        <w:rPr/>
      </w:pPr>
      <w:r>
        <w:rPr>
          <w:rFonts w:ascii="Verdana" w:hAnsi="Verdana"/>
          <w:sz w:val="22"/>
          <w:szCs w:val="22"/>
        </w:rPr>
        <w:t xml:space="preserve">8.7. Para fins de liquidação, o setor competente deverá verificar se a nota fiscal ou instrumento de cobrança equivalente apresentado expressa os elementos necessários e essenciais do documento, tais como: </w:t>
      </w:r>
    </w:p>
    <w:p>
      <w:pPr>
        <w:pStyle w:val="Normal"/>
        <w:numPr>
          <w:ilvl w:val="0"/>
          <w:numId w:val="2"/>
        </w:numPr>
        <w:tabs>
          <w:tab w:val="clear" w:pos="708"/>
          <w:tab w:val="left" w:pos="563" w:leader="none"/>
        </w:tabs>
        <w:spacing w:lineRule="auto" w:line="276" w:before="85" w:after="85"/>
        <w:jc w:val="both"/>
        <w:rPr/>
      </w:pPr>
      <w:r>
        <w:rPr>
          <w:rFonts w:ascii="Verdana" w:hAnsi="Verdana"/>
          <w:sz w:val="22"/>
          <w:szCs w:val="22"/>
        </w:rPr>
        <w:t>O prazo de validade;</w:t>
      </w:r>
    </w:p>
    <w:p>
      <w:pPr>
        <w:pStyle w:val="Normal"/>
        <w:numPr>
          <w:ilvl w:val="0"/>
          <w:numId w:val="2"/>
        </w:numPr>
        <w:tabs>
          <w:tab w:val="clear" w:pos="708"/>
          <w:tab w:val="left" w:pos="563" w:leader="none"/>
        </w:tabs>
        <w:spacing w:lineRule="auto" w:line="276" w:before="85" w:after="85"/>
        <w:jc w:val="both"/>
        <w:rPr/>
      </w:pPr>
      <w:r>
        <w:rPr>
          <w:rFonts w:ascii="Verdana" w:hAnsi="Verdana"/>
          <w:sz w:val="22"/>
          <w:szCs w:val="22"/>
        </w:rPr>
        <w:t xml:space="preserve">A data da emissão; </w:t>
      </w:r>
    </w:p>
    <w:p>
      <w:pPr>
        <w:pStyle w:val="Normal"/>
        <w:numPr>
          <w:ilvl w:val="0"/>
          <w:numId w:val="2"/>
        </w:numPr>
        <w:tabs>
          <w:tab w:val="clear" w:pos="708"/>
          <w:tab w:val="left" w:pos="563" w:leader="none"/>
        </w:tabs>
        <w:spacing w:lineRule="auto" w:line="276" w:before="85" w:after="85"/>
        <w:jc w:val="both"/>
        <w:rPr/>
      </w:pPr>
      <w:r>
        <w:rPr>
          <w:rFonts w:ascii="Verdana" w:hAnsi="Verdana"/>
          <w:sz w:val="22"/>
          <w:szCs w:val="22"/>
        </w:rPr>
        <w:t xml:space="preserve">Os dados do contrato e do órgão contratante; </w:t>
      </w:r>
    </w:p>
    <w:p>
      <w:pPr>
        <w:pStyle w:val="Normal"/>
        <w:numPr>
          <w:ilvl w:val="0"/>
          <w:numId w:val="2"/>
        </w:numPr>
        <w:tabs>
          <w:tab w:val="clear" w:pos="708"/>
          <w:tab w:val="left" w:pos="563" w:leader="none"/>
        </w:tabs>
        <w:spacing w:lineRule="auto" w:line="276" w:before="85" w:after="85"/>
        <w:jc w:val="both"/>
        <w:rPr/>
      </w:pPr>
      <w:r>
        <w:rPr>
          <w:rFonts w:ascii="Verdana" w:hAnsi="Verdana"/>
          <w:sz w:val="22"/>
          <w:szCs w:val="22"/>
        </w:rPr>
        <w:t xml:space="preserve">O período respectivo de execução do contrato; </w:t>
      </w:r>
    </w:p>
    <w:p>
      <w:pPr>
        <w:pStyle w:val="Normal"/>
        <w:numPr>
          <w:ilvl w:val="0"/>
          <w:numId w:val="2"/>
        </w:numPr>
        <w:tabs>
          <w:tab w:val="clear" w:pos="708"/>
          <w:tab w:val="left" w:pos="563" w:leader="none"/>
        </w:tabs>
        <w:spacing w:lineRule="auto" w:line="276" w:before="85" w:after="85"/>
        <w:jc w:val="both"/>
        <w:rPr/>
      </w:pPr>
      <w:r>
        <w:rPr>
          <w:rFonts w:ascii="Verdana" w:hAnsi="Verdana"/>
          <w:sz w:val="22"/>
          <w:szCs w:val="22"/>
        </w:rPr>
        <w:t xml:space="preserve">O valor a pagar; e </w:t>
      </w:r>
    </w:p>
    <w:p>
      <w:pPr>
        <w:pStyle w:val="Normal"/>
        <w:numPr>
          <w:ilvl w:val="0"/>
          <w:numId w:val="2"/>
        </w:numPr>
        <w:tabs>
          <w:tab w:val="clear" w:pos="708"/>
          <w:tab w:val="left" w:pos="563" w:leader="none"/>
        </w:tabs>
        <w:spacing w:lineRule="auto" w:line="276" w:before="85" w:after="85"/>
        <w:jc w:val="both"/>
        <w:rPr/>
      </w:pPr>
      <w:r>
        <w:rPr>
          <w:rFonts w:ascii="Verdana" w:hAnsi="Verdana"/>
          <w:sz w:val="22"/>
          <w:szCs w:val="22"/>
        </w:rPr>
        <w:t>Eventual destaque do valor de retenções tributárias cabíveis.</w:t>
      </w:r>
    </w:p>
    <w:p>
      <w:pPr>
        <w:pStyle w:val="Normal"/>
        <w:tabs>
          <w:tab w:val="clear" w:pos="708"/>
          <w:tab w:val="left" w:pos="563" w:leader="none"/>
        </w:tabs>
        <w:spacing w:lineRule="auto" w:line="276" w:before="85" w:after="85"/>
        <w:ind w:hanging="0" w:left="0" w:right="0"/>
        <w:jc w:val="both"/>
        <w:rPr/>
      </w:pPr>
      <w:r>
        <w:rPr>
          <w:rFonts w:ascii="Verdana" w:hAnsi="Verdana"/>
          <w:sz w:val="22"/>
          <w:szCs w:val="22"/>
        </w:rPr>
        <w:t>8.8. A</w:t>
      </w:r>
      <w:r>
        <w:rPr>
          <w:rFonts w:ascii="Verdana" w:hAnsi="Verdana"/>
          <w:sz w:val="22"/>
          <w:szCs w:val="22"/>
          <w:lang w:eastAsia="en-US"/>
        </w:rPr>
        <w:t xml:space="preserve"> nota fiscal ou instrumento de cobrança equivalente deverá ser obrigatoriamente acompanhado da comprovação da regularidade fiscal</w:t>
      </w:r>
      <w:r>
        <w:rPr>
          <w:rStyle w:val="InternetLink"/>
          <w:rFonts w:ascii="Verdana" w:hAnsi="Verdana"/>
          <w:color w:val="auto"/>
          <w:sz w:val="22"/>
          <w:szCs w:val="22"/>
          <w:u w:val="none"/>
          <w:lang w:eastAsia="en-US"/>
        </w:rPr>
        <w:t>.</w:t>
      </w:r>
    </w:p>
    <w:p>
      <w:pPr>
        <w:pStyle w:val="Normal"/>
        <w:tabs>
          <w:tab w:val="clear" w:pos="708"/>
          <w:tab w:val="left" w:pos="563" w:leader="none"/>
        </w:tabs>
        <w:spacing w:lineRule="auto" w:line="276" w:before="85" w:after="85"/>
        <w:ind w:hanging="0" w:left="0" w:right="0"/>
        <w:jc w:val="both"/>
        <w:rPr/>
      </w:pPr>
      <w:r>
        <w:rPr>
          <w:rStyle w:val="InternetLink"/>
          <w:rFonts w:ascii="Verdana" w:hAnsi="Verdana"/>
          <w:color w:val="auto"/>
          <w:sz w:val="22"/>
          <w:szCs w:val="22"/>
          <w:u w:val="none"/>
          <w:lang w:eastAsia="en-US"/>
        </w:rPr>
        <w:t xml:space="preserve">8.9. </w:t>
      </w:r>
      <w:r>
        <w:rPr>
          <w:rFonts w:ascii="Verdana" w:hAnsi="Verdana"/>
          <w:sz w:val="22"/>
          <w:szCs w:val="22"/>
        </w:rPr>
        <w:t>O pagamento será realizado por meio de ordem bancária, para crédito em banco, agência e conta corrente indicados pelo contratado.</w:t>
      </w:r>
    </w:p>
    <w:p>
      <w:pPr>
        <w:pStyle w:val="Normal"/>
        <w:tabs>
          <w:tab w:val="clear" w:pos="708"/>
          <w:tab w:val="left" w:pos="563" w:leader="none"/>
        </w:tabs>
        <w:spacing w:lineRule="auto" w:line="276" w:before="85" w:after="85"/>
        <w:ind w:hanging="0" w:left="0" w:right="0"/>
        <w:jc w:val="both"/>
        <w:rPr/>
      </w:pPr>
      <w:r>
        <w:rPr>
          <w:rFonts w:ascii="Verdana" w:hAnsi="Verdana"/>
          <w:sz w:val="22"/>
          <w:szCs w:val="22"/>
        </w:rPr>
        <w:t>8.10. Será considerada data do pagamento o dia em que constar como emitida a ordem bancária para pagamento.</w:t>
      </w:r>
    </w:p>
    <w:p>
      <w:pPr>
        <w:pStyle w:val="Normal"/>
        <w:tabs>
          <w:tab w:val="clear" w:pos="708"/>
          <w:tab w:val="left" w:pos="563" w:leader="none"/>
        </w:tabs>
        <w:spacing w:lineRule="auto" w:line="276" w:before="85" w:after="85"/>
        <w:ind w:hanging="0" w:left="0" w:right="0"/>
        <w:jc w:val="both"/>
        <w:rPr/>
      </w:pPr>
      <w:r>
        <w:rPr>
          <w:rFonts w:ascii="Verdana" w:hAnsi="Verdana"/>
          <w:sz w:val="22"/>
          <w:szCs w:val="22"/>
        </w:rPr>
        <w:t>8.11. Quando do pagamento, será efetuada a retenção tributária prevista na legislação aplicável.</w:t>
      </w:r>
    </w:p>
    <w:p>
      <w:pPr>
        <w:pStyle w:val="Normal"/>
        <w:tabs>
          <w:tab w:val="clear" w:pos="708"/>
          <w:tab w:val="left" w:pos="563" w:leader="none"/>
        </w:tabs>
        <w:spacing w:lineRule="auto" w:line="276" w:before="85" w:after="85"/>
        <w:ind w:hanging="0" w:left="0" w:right="0"/>
        <w:jc w:val="both"/>
        <w:rPr/>
      </w:pPr>
      <w:r>
        <w:rPr>
          <w:rFonts w:ascii="Verdana" w:hAnsi="Verdana"/>
          <w:sz w:val="22"/>
          <w:szCs w:val="22"/>
          <w:lang w:eastAsia="en-US"/>
        </w:rPr>
        <w:t xml:space="preserve">8.12. O contratado regularmente optante pelo Simples Nacional, nos termos da </w:t>
      </w:r>
      <w:hyperlink r:id="rId2">
        <w:r>
          <w:rPr>
            <w:rStyle w:val="ListLabel11"/>
            <w:rFonts w:ascii="Verdana" w:hAnsi="Verdana"/>
            <w:sz w:val="22"/>
            <w:szCs w:val="22"/>
            <w:u w:val="single"/>
            <w:lang w:eastAsia="en-US"/>
          </w:rPr>
          <w:t>Lei Complementar nº 123, de 2006</w:t>
        </w:r>
      </w:hyperlink>
      <w:r>
        <w:rPr>
          <w:rFonts w:ascii="Verdana" w:hAnsi="Verdana"/>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tabs>
          <w:tab w:val="clear" w:pos="708"/>
          <w:tab w:val="left" w:pos="563" w:leader="none"/>
        </w:tabs>
        <w:spacing w:lineRule="auto" w:line="276" w:before="85" w:after="85"/>
        <w:ind w:hanging="0" w:left="0" w:right="0"/>
        <w:jc w:val="both"/>
        <w:rPr/>
      </w:pPr>
      <w:r>
        <w:rPr>
          <w:rFonts w:ascii="Verdana" w:hAnsi="Verdana"/>
          <w:sz w:val="22"/>
          <w:szCs w:val="22"/>
          <w:lang w:eastAsia="en-US"/>
        </w:rPr>
        <w:t>8.13.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before="85" w:after="85"/>
        <w:ind w:hanging="0" w:left="0"/>
        <w:jc w:val="both"/>
        <w:rPr>
          <w:rFonts w:ascii="Verdana" w:hAnsi="Verdana"/>
          <w:b/>
          <w:bCs/>
          <w:sz w:val="22"/>
          <w:szCs w:val="22"/>
        </w:rPr>
      </w:pPr>
      <w:r>
        <w:rPr>
          <w:rFonts w:ascii="Verdana" w:hAnsi="Verdana"/>
          <w:b/>
          <w:bCs/>
          <w:sz w:val="22"/>
          <w:szCs w:val="22"/>
        </w:rPr>
      </w:r>
    </w:p>
    <w:p>
      <w:pPr>
        <w:pStyle w:val="Normal"/>
        <w:spacing w:lineRule="auto" w:line="276" w:before="85" w:after="85"/>
        <w:ind w:hanging="0" w:left="0" w:right="0"/>
        <w:jc w:val="both"/>
        <w:rPr/>
      </w:pPr>
      <w:r>
        <w:rPr>
          <w:rFonts w:ascii="Verdana" w:hAnsi="Verdana"/>
          <w:b/>
          <w:bCs/>
          <w:iCs/>
          <w:sz w:val="22"/>
          <w:szCs w:val="22"/>
          <w:shd w:fill="auto" w:val="clear"/>
        </w:rPr>
        <w:t>9. DAS SANÇÕES</w:t>
      </w:r>
    </w:p>
    <w:p>
      <w:pPr>
        <w:pStyle w:val="Normal"/>
        <w:spacing w:lineRule="auto" w:line="276" w:before="85" w:after="85"/>
        <w:ind w:hanging="0" w:left="0" w:right="0"/>
        <w:jc w:val="both"/>
        <w:rPr/>
      </w:pPr>
      <w:r>
        <w:rPr>
          <w:rFonts w:ascii="Verdana" w:hAnsi="Verdana"/>
          <w:iCs/>
          <w:sz w:val="22"/>
          <w:szCs w:val="22"/>
          <w:shd w:fill="auto" w:val="clear"/>
        </w:rPr>
        <w:t>9.1. Comete infração administrativa o fornecedor/prestador de serviço que cometer quaisquer das infrações previstas no art. 155 da Lei nº 14.133, de 2021, quais sejam:</w:t>
      </w:r>
    </w:p>
    <w:p>
      <w:pPr>
        <w:pStyle w:val="Normal"/>
        <w:spacing w:lineRule="auto" w:line="276" w:before="85" w:after="85"/>
        <w:ind w:hanging="0" w:left="0" w:right="0"/>
        <w:jc w:val="both"/>
        <w:rPr/>
      </w:pPr>
      <w:r>
        <w:rPr>
          <w:rFonts w:ascii="Verdana" w:hAnsi="Verdana"/>
          <w:iCs/>
          <w:sz w:val="22"/>
          <w:szCs w:val="22"/>
          <w:shd w:fill="auto" w:val="clear"/>
        </w:rPr>
        <w:t>9.1.1. Dar causa à inexecução parcial do contrato.</w:t>
      </w:r>
    </w:p>
    <w:p>
      <w:pPr>
        <w:pStyle w:val="Normal"/>
        <w:spacing w:lineRule="auto" w:line="276" w:before="85" w:after="85"/>
        <w:ind w:hanging="0" w:left="0" w:right="0"/>
        <w:jc w:val="both"/>
        <w:rPr/>
      </w:pPr>
      <w:r>
        <w:rPr>
          <w:rFonts w:ascii="Verdana" w:hAnsi="Verdana"/>
          <w:iCs/>
          <w:sz w:val="22"/>
          <w:szCs w:val="22"/>
          <w:shd w:fill="auto" w:val="clear"/>
        </w:rPr>
        <w:t>9.1.2. Dar causa à inexecução parcial que cause grave dano à Administração, ao funcionamento dos serviços públicos ou ao interesse coletivo.</w:t>
      </w:r>
    </w:p>
    <w:p>
      <w:pPr>
        <w:pStyle w:val="Normal"/>
        <w:spacing w:lineRule="auto" w:line="276" w:before="85" w:after="85"/>
        <w:ind w:hanging="0" w:left="0" w:right="0"/>
        <w:jc w:val="both"/>
        <w:rPr/>
      </w:pPr>
      <w:r>
        <w:rPr>
          <w:rFonts w:ascii="Verdana" w:hAnsi="Verdana"/>
          <w:iCs/>
          <w:sz w:val="22"/>
          <w:szCs w:val="22"/>
          <w:shd w:fill="auto" w:val="clear"/>
        </w:rPr>
        <w:t>9.1.3. Dar causa à inexecução total;</w:t>
      </w:r>
    </w:p>
    <w:p>
      <w:pPr>
        <w:pStyle w:val="Normal"/>
        <w:spacing w:lineRule="auto" w:line="276" w:before="85" w:after="85"/>
        <w:ind w:hanging="0" w:left="0" w:right="0"/>
        <w:jc w:val="both"/>
        <w:rPr/>
      </w:pPr>
      <w:r>
        <w:rPr>
          <w:rFonts w:ascii="Verdana" w:hAnsi="Verdana"/>
          <w:iCs/>
          <w:sz w:val="22"/>
          <w:szCs w:val="22"/>
          <w:shd w:fill="auto" w:val="clear"/>
        </w:rPr>
        <w:t>9.1.4. Deixar de entregar a documentação exigida para o certame.</w:t>
      </w:r>
    </w:p>
    <w:p>
      <w:pPr>
        <w:pStyle w:val="Normal"/>
        <w:spacing w:lineRule="auto" w:line="276" w:before="85" w:after="85"/>
        <w:ind w:hanging="0" w:left="0" w:right="0"/>
        <w:jc w:val="both"/>
        <w:rPr/>
      </w:pPr>
      <w:r>
        <w:rPr>
          <w:rFonts w:ascii="Verdana" w:hAnsi="Verdana"/>
          <w:iCs/>
          <w:sz w:val="22"/>
          <w:szCs w:val="22"/>
          <w:shd w:fill="auto" w:val="clear"/>
        </w:rPr>
        <w:t>9.1.5. Não manter a proposta, salvo em decorrência de fato superveniente devidamente justificado.</w:t>
      </w:r>
    </w:p>
    <w:p>
      <w:pPr>
        <w:pStyle w:val="Normal"/>
        <w:spacing w:lineRule="auto" w:line="276" w:before="85" w:after="85"/>
        <w:ind w:hanging="0" w:left="0" w:right="0"/>
        <w:jc w:val="both"/>
        <w:rPr/>
      </w:pPr>
      <w:r>
        <w:rPr>
          <w:rFonts w:ascii="Verdana" w:hAnsi="Verdana"/>
          <w:iCs/>
          <w:sz w:val="22"/>
          <w:szCs w:val="22"/>
          <w:shd w:fill="auto" w:val="clear"/>
        </w:rPr>
        <w:t xml:space="preserve">9.1.6. Não celebrar o contrato ou não entregar a documentação exigida para a contratação, quando convocado dentro do prazo de validade de sua proposta. </w:t>
      </w:r>
    </w:p>
    <w:p>
      <w:pPr>
        <w:pStyle w:val="Normal"/>
        <w:spacing w:lineRule="auto" w:line="276" w:before="85" w:after="85"/>
        <w:ind w:hanging="0" w:left="0" w:right="0"/>
        <w:jc w:val="both"/>
        <w:rPr/>
      </w:pPr>
      <w:r>
        <w:rPr>
          <w:rFonts w:ascii="Verdana" w:hAnsi="Verdana"/>
          <w:iCs/>
          <w:sz w:val="22"/>
          <w:szCs w:val="22"/>
          <w:shd w:fill="auto" w:val="clear"/>
        </w:rPr>
        <w:t>9.1.7. Ensejar o retardamento da execução ou da entrega do objeto sem motivo justificado,</w:t>
      </w:r>
    </w:p>
    <w:p>
      <w:pPr>
        <w:pStyle w:val="Normal"/>
        <w:spacing w:lineRule="auto" w:line="276" w:before="85" w:after="85"/>
        <w:ind w:hanging="0" w:left="0" w:right="0"/>
        <w:jc w:val="both"/>
        <w:rPr/>
      </w:pPr>
      <w:r>
        <w:rPr>
          <w:rFonts w:ascii="Verdana" w:hAnsi="Verdana"/>
          <w:iCs/>
          <w:sz w:val="22"/>
          <w:szCs w:val="22"/>
          <w:shd w:fill="auto" w:val="clear"/>
        </w:rPr>
        <w:t>9.1.8. Apresentar declaração ou documentação falsa exigida para o certame ou prestar declaração falsa durante a dispensa eletrônica ou a execução do objeto.</w:t>
      </w:r>
    </w:p>
    <w:p>
      <w:pPr>
        <w:pStyle w:val="Normal"/>
        <w:spacing w:lineRule="auto" w:line="276" w:before="85" w:after="85"/>
        <w:ind w:hanging="0" w:left="0" w:right="0"/>
        <w:jc w:val="both"/>
        <w:rPr/>
      </w:pPr>
      <w:r>
        <w:rPr>
          <w:rFonts w:ascii="Verdana" w:hAnsi="Verdana"/>
          <w:iCs/>
          <w:sz w:val="22"/>
          <w:szCs w:val="22"/>
          <w:shd w:fill="auto" w:val="clear"/>
        </w:rPr>
        <w:t>9.1.9. Fraudar a dispensa eletrônica ou praticar ato fraudulento na execução do objeto.</w:t>
      </w:r>
    </w:p>
    <w:p>
      <w:pPr>
        <w:pStyle w:val="Normal"/>
        <w:spacing w:lineRule="auto" w:line="276" w:before="85" w:after="85"/>
        <w:ind w:hanging="0" w:left="0" w:right="0"/>
        <w:jc w:val="both"/>
        <w:rPr/>
      </w:pPr>
      <w:r>
        <w:rPr>
          <w:rFonts w:ascii="Verdana" w:hAnsi="Verdana"/>
          <w:iCs/>
          <w:sz w:val="22"/>
          <w:szCs w:val="22"/>
          <w:shd w:fill="auto" w:val="clear"/>
        </w:rPr>
        <w:t>9.1.10. Comportar-se de modo inidôneo ou cometer fraude de qualquer natureza.</w:t>
      </w:r>
    </w:p>
    <w:p>
      <w:pPr>
        <w:pStyle w:val="Normal"/>
        <w:spacing w:lineRule="auto" w:line="276" w:before="85" w:after="85"/>
        <w:ind w:hanging="0" w:left="0" w:right="0"/>
        <w:jc w:val="both"/>
        <w:rPr/>
      </w:pPr>
      <w:r>
        <w:rPr>
          <w:rFonts w:ascii="Verdana" w:hAnsi="Verdana"/>
          <w:iCs/>
          <w:sz w:val="22"/>
          <w:szCs w:val="22"/>
          <w:shd w:fill="auto" w:val="clear"/>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before="85" w:after="85"/>
        <w:ind w:hanging="0" w:left="0" w:right="0"/>
        <w:jc w:val="both"/>
        <w:rPr/>
      </w:pPr>
      <w:r>
        <w:rPr>
          <w:rFonts w:ascii="Verdana" w:hAnsi="Verdana"/>
          <w:iCs/>
          <w:sz w:val="22"/>
          <w:szCs w:val="22"/>
          <w:shd w:fill="auto" w:val="clear"/>
        </w:rPr>
        <w:t>9.1.11. Praticar atos ilícitos com vistas a frustrar os objetivos deste certame.</w:t>
      </w:r>
    </w:p>
    <w:p>
      <w:pPr>
        <w:pStyle w:val="Normal"/>
        <w:spacing w:lineRule="auto" w:line="276" w:before="85" w:after="85"/>
        <w:ind w:hanging="0" w:left="0" w:right="0"/>
        <w:jc w:val="both"/>
        <w:rPr/>
      </w:pPr>
      <w:r>
        <w:rPr>
          <w:rFonts w:ascii="Verdana" w:hAnsi="Verdana"/>
          <w:iCs/>
          <w:sz w:val="22"/>
          <w:szCs w:val="22"/>
          <w:shd w:fill="auto" w:val="clear"/>
        </w:rPr>
        <w:t>9.1.12. Praticar ato lesivo previsto no art. 5º da Lei nº 12.846, de 1º de agosto de 2013.</w:t>
      </w:r>
    </w:p>
    <w:p>
      <w:pPr>
        <w:pStyle w:val="Normal"/>
        <w:spacing w:lineRule="auto" w:line="276" w:before="85" w:after="85"/>
        <w:ind w:hanging="0" w:left="0" w:right="0"/>
        <w:jc w:val="both"/>
        <w:rPr/>
      </w:pPr>
      <w:r>
        <w:rPr>
          <w:rFonts w:ascii="Verdana" w:hAnsi="Verdana"/>
          <w:iCs/>
          <w:sz w:val="22"/>
          <w:szCs w:val="22"/>
          <w:shd w:fill="auto" w:val="clear"/>
        </w:rPr>
        <w:t>9.2. O fornecedor que cometer qualquer das infrações discriminadas nos subitens anteriores ficará sujeito, sem prejuízo da responsabilidade civil e criminal, às seguintes sanções:</w:t>
      </w:r>
    </w:p>
    <w:p>
      <w:pPr>
        <w:pStyle w:val="Normal"/>
        <w:widowControl/>
        <w:suppressAutoHyphens w:val="true"/>
        <w:bidi w:val="0"/>
        <w:spacing w:lineRule="auto" w:line="276" w:before="85" w:after="85"/>
        <w:ind w:hanging="0" w:left="0" w:right="0"/>
        <w:jc w:val="both"/>
        <w:rPr/>
      </w:pPr>
      <w:r>
        <w:rPr>
          <w:rFonts w:ascii="Verdana" w:hAnsi="Verdana"/>
          <w:iCs/>
          <w:sz w:val="22"/>
          <w:szCs w:val="22"/>
          <w:shd w:fill="auto" w:val="clear"/>
        </w:rPr>
        <w:tab/>
        <w:t>a) Advertência pela falta do subitem 9.1.1 deste Termo de Referência, quando não se justificar a imposição de penalidade mais grave.</w:t>
      </w:r>
    </w:p>
    <w:p>
      <w:pPr>
        <w:pStyle w:val="Normal"/>
        <w:widowControl/>
        <w:suppressAutoHyphens w:val="true"/>
        <w:bidi w:val="0"/>
        <w:spacing w:lineRule="auto" w:line="276" w:before="85" w:after="85"/>
        <w:ind w:hanging="0" w:left="0" w:right="0"/>
        <w:jc w:val="both"/>
        <w:rPr/>
      </w:pPr>
      <w:r>
        <w:rPr>
          <w:rFonts w:ascii="Verdana" w:hAnsi="Verdana"/>
          <w:iCs/>
          <w:sz w:val="22"/>
          <w:szCs w:val="22"/>
          <w:shd w:fill="auto" w:val="clear"/>
        </w:rPr>
        <w:tab/>
        <w:t xml:space="preserve">b) Multa, calculada na forma do edital, com base no total do valor da contratação realizada de forma direta e será aplicada ao responsável por qualquer das infrações administrativas previstas no item 9.1 deste Termo de Referência, no percentual de 10% (dez por cento), na hipótese de cometimento das infrações previstas nos itens 9.1.1 a 9.1.7 e 20% (vinte por cento), se cometidas infrações previstas nos itens 9.1.8 a 9.1.12; </w:t>
      </w:r>
    </w:p>
    <w:p>
      <w:pPr>
        <w:pStyle w:val="Normal"/>
        <w:widowControl/>
        <w:suppressAutoHyphens w:val="true"/>
        <w:bidi w:val="0"/>
        <w:spacing w:lineRule="auto" w:line="276" w:before="85" w:after="85"/>
        <w:ind w:hanging="0" w:left="0" w:right="0"/>
        <w:jc w:val="both"/>
        <w:rPr/>
      </w:pPr>
      <w:r>
        <w:rPr>
          <w:rFonts w:ascii="Verdana" w:hAnsi="Verdana"/>
          <w:iCs/>
          <w:sz w:val="22"/>
          <w:szCs w:val="22"/>
          <w:shd w:fill="auto" w:val="clear"/>
        </w:rPr>
        <w:tab/>
        <w:tab/>
        <w:t>b.1) O valor da multa poderá ser descontado das faturas devidas à CONTRATADA;</w:t>
      </w:r>
    </w:p>
    <w:p>
      <w:pPr>
        <w:pStyle w:val="Normal"/>
        <w:widowControl/>
        <w:suppressAutoHyphens w:val="true"/>
        <w:bidi w:val="0"/>
        <w:spacing w:lineRule="auto" w:line="276" w:before="85" w:after="85"/>
        <w:ind w:hanging="0" w:left="0" w:right="0"/>
        <w:jc w:val="both"/>
        <w:rPr/>
      </w:pPr>
      <w:r>
        <w:rPr>
          <w:rFonts w:ascii="Verdana" w:hAnsi="Verdana"/>
          <w:iCs/>
          <w:sz w:val="22"/>
          <w:szCs w:val="22"/>
          <w:shd w:fill="auto" w:val="clear"/>
        </w:rPr>
        <w:tab/>
        <w:tab/>
        <w:t xml:space="preserve">b.2) A multa pode ser aplicada isoladamente ou juntamente com as penalidades definidas nos itens “c” e “d” abaixo: </w:t>
      </w:r>
    </w:p>
    <w:p>
      <w:pPr>
        <w:pStyle w:val="Normal"/>
        <w:widowControl/>
        <w:suppressAutoHyphens w:val="true"/>
        <w:bidi w:val="0"/>
        <w:spacing w:lineRule="auto" w:line="276" w:before="85" w:after="85"/>
        <w:ind w:hanging="0" w:left="0" w:right="0"/>
        <w:jc w:val="both"/>
        <w:rPr/>
      </w:pPr>
      <w:r>
        <w:rPr>
          <w:rFonts w:ascii="Verdana" w:hAnsi="Verdana"/>
          <w:iCs/>
          <w:sz w:val="22"/>
          <w:szCs w:val="22"/>
          <w:shd w:fill="auto" w:val="clear"/>
        </w:rPr>
        <w:tab/>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pPr>
        <w:pStyle w:val="Normal"/>
        <w:widowControl/>
        <w:suppressAutoHyphens w:val="true"/>
        <w:bidi w:val="0"/>
        <w:spacing w:lineRule="auto" w:line="276" w:before="85" w:after="85"/>
        <w:ind w:hanging="0" w:left="0" w:right="0"/>
        <w:jc w:val="both"/>
        <w:rPr/>
      </w:pPr>
      <w:r>
        <w:rPr>
          <w:rFonts w:ascii="Verdana" w:hAnsi="Verdana"/>
          <w:iCs/>
          <w:sz w:val="22"/>
          <w:szCs w:val="22"/>
          <w:shd w:fill="auto" w:val="clear"/>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pPr>
        <w:pStyle w:val="Normal"/>
        <w:spacing w:lineRule="auto" w:line="276" w:before="85" w:after="85"/>
        <w:ind w:hanging="0" w:left="0" w:right="0"/>
        <w:jc w:val="both"/>
        <w:rPr/>
      </w:pPr>
      <w:r>
        <w:rPr>
          <w:rFonts w:ascii="Verdana" w:hAnsi="Verdana"/>
          <w:iCs/>
          <w:sz w:val="22"/>
          <w:szCs w:val="22"/>
          <w:shd w:fill="auto" w:val="clear"/>
        </w:rPr>
        <w:t>9.3. Na aplicação das sanções serão considerados:</w:t>
      </w:r>
    </w:p>
    <w:p>
      <w:pPr>
        <w:pStyle w:val="Normal"/>
        <w:spacing w:lineRule="auto" w:line="276" w:before="85" w:after="85"/>
        <w:ind w:hanging="0" w:left="0" w:right="0"/>
        <w:jc w:val="both"/>
        <w:rPr/>
      </w:pPr>
      <w:r>
        <w:rPr>
          <w:rFonts w:ascii="Verdana" w:hAnsi="Verdana"/>
          <w:iCs/>
          <w:sz w:val="22"/>
          <w:szCs w:val="22"/>
          <w:shd w:fill="auto" w:val="clear"/>
        </w:rPr>
        <w:t>9.3.1. A natureza e a gravidade da infração cometida.</w:t>
      </w:r>
    </w:p>
    <w:p>
      <w:pPr>
        <w:pStyle w:val="Normal"/>
        <w:spacing w:lineRule="auto" w:line="276" w:before="85" w:after="85"/>
        <w:ind w:hanging="0" w:left="0" w:right="0"/>
        <w:jc w:val="both"/>
        <w:rPr/>
      </w:pPr>
      <w:r>
        <w:rPr>
          <w:rFonts w:ascii="Verdana" w:hAnsi="Verdana"/>
          <w:iCs/>
          <w:sz w:val="22"/>
          <w:szCs w:val="22"/>
          <w:shd w:fill="auto" w:val="clear"/>
        </w:rPr>
        <w:t>9.3.2. As peculiaridades do caso concreto.</w:t>
      </w:r>
    </w:p>
    <w:p>
      <w:pPr>
        <w:pStyle w:val="Normal"/>
        <w:spacing w:lineRule="auto" w:line="276" w:before="85" w:after="85"/>
        <w:ind w:hanging="0" w:left="0" w:right="0"/>
        <w:jc w:val="both"/>
        <w:rPr/>
      </w:pPr>
      <w:r>
        <w:rPr>
          <w:rFonts w:ascii="Verdana" w:hAnsi="Verdana"/>
          <w:iCs/>
          <w:sz w:val="22"/>
          <w:szCs w:val="22"/>
          <w:shd w:fill="auto" w:val="clear"/>
        </w:rPr>
        <w:t>9.3.3. As circunstâncias agravantes ou atenuantes.</w:t>
      </w:r>
    </w:p>
    <w:p>
      <w:pPr>
        <w:pStyle w:val="Normal"/>
        <w:spacing w:lineRule="auto" w:line="276" w:before="85" w:after="85"/>
        <w:ind w:hanging="0" w:left="0" w:right="0"/>
        <w:jc w:val="both"/>
        <w:rPr/>
      </w:pPr>
      <w:r>
        <w:rPr>
          <w:rFonts w:ascii="Verdana" w:hAnsi="Verdana"/>
          <w:iCs/>
          <w:sz w:val="22"/>
          <w:szCs w:val="22"/>
          <w:shd w:fill="auto" w:val="clear"/>
        </w:rPr>
        <w:t>9.3.4. Os danos que dela provierem para a Administração Pública.</w:t>
      </w:r>
    </w:p>
    <w:p>
      <w:pPr>
        <w:pStyle w:val="Normal"/>
        <w:spacing w:lineRule="auto" w:line="276" w:before="85" w:after="85"/>
        <w:ind w:hanging="0" w:left="0" w:right="0"/>
        <w:jc w:val="both"/>
        <w:rPr/>
      </w:pPr>
      <w:r>
        <w:rPr>
          <w:rFonts w:ascii="Verdana" w:hAnsi="Verdana"/>
          <w:iCs/>
          <w:sz w:val="22"/>
          <w:szCs w:val="22"/>
          <w:shd w:fill="auto" w:val="clear"/>
        </w:rPr>
        <w:t>9.3.5. A implantação ou o aperfeiçoamento de programa de integridade, conforme normas e orientações dos órgãos de controle.</w:t>
      </w:r>
    </w:p>
    <w:p>
      <w:pPr>
        <w:pStyle w:val="Normal"/>
        <w:spacing w:lineRule="auto" w:line="276" w:before="85" w:after="85"/>
        <w:ind w:hanging="0" w:left="0" w:right="0"/>
        <w:jc w:val="both"/>
        <w:rPr/>
      </w:pPr>
      <w:r>
        <w:rPr>
          <w:rFonts w:ascii="Verdana" w:hAnsi="Verdana"/>
          <w:iCs/>
          <w:sz w:val="22"/>
          <w:szCs w:val="22"/>
          <w:shd w:fill="auto" w:val="clear"/>
        </w:rPr>
        <w:t>9.4.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before="85" w:after="85"/>
        <w:ind w:hanging="0" w:left="0" w:right="0"/>
        <w:jc w:val="both"/>
        <w:rPr/>
      </w:pPr>
      <w:r>
        <w:rPr>
          <w:rFonts w:ascii="Verdana" w:hAnsi="Verdana"/>
          <w:b w:val="false"/>
          <w:bCs w:val="false"/>
          <w:iCs/>
          <w:sz w:val="22"/>
          <w:szCs w:val="22"/>
          <w:shd w:fill="auto" w:val="clear"/>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76" w:before="85" w:after="85"/>
        <w:ind w:hanging="0" w:left="0" w:right="0"/>
        <w:jc w:val="both"/>
        <w:rPr>
          <w:rFonts w:ascii="Verdana" w:hAnsi="Verdana"/>
          <w:sz w:val="22"/>
          <w:szCs w:val="22"/>
        </w:rPr>
      </w:pPr>
      <w:r>
        <w:rPr>
          <w:rFonts w:ascii="Verdana" w:hAnsi="Verdana"/>
          <w:sz w:val="22"/>
          <w:szCs w:val="22"/>
        </w:rPr>
      </w:r>
    </w:p>
    <w:p>
      <w:pPr>
        <w:pStyle w:val="Normal"/>
        <w:spacing w:lineRule="auto" w:line="276" w:before="85" w:after="85"/>
        <w:ind w:hanging="0" w:left="0" w:right="0"/>
        <w:jc w:val="both"/>
        <w:rPr/>
      </w:pPr>
      <w:r>
        <w:rPr>
          <w:rFonts w:ascii="Verdana" w:hAnsi="Verdana"/>
          <w:b/>
          <w:bCs/>
          <w:sz w:val="22"/>
          <w:szCs w:val="22"/>
          <w:lang w:eastAsia="en-US"/>
        </w:rPr>
        <w:t>10. DA HABILITAÇÃO</w:t>
      </w:r>
    </w:p>
    <w:p>
      <w:pPr>
        <w:pStyle w:val="Nivel01"/>
        <w:keepNext w:val="true"/>
        <w:keepLines/>
        <w:widowControl/>
        <w:tabs>
          <w:tab w:val="clear" w:pos="567"/>
          <w:tab w:val="left" w:pos="517" w:leader="none"/>
          <w:tab w:val="left" w:pos="683" w:leader="none"/>
        </w:tabs>
        <w:suppressAutoHyphens w:val="true"/>
        <w:bidi w:val="0"/>
        <w:spacing w:lineRule="auto" w:line="276" w:before="85" w:after="85"/>
        <w:ind w:hanging="0" w:left="0" w:right="0"/>
        <w:jc w:val="both"/>
        <w:rPr/>
      </w:pPr>
      <w:r>
        <w:rPr>
          <w:rFonts w:cs="Verdana" w:ascii="Verdana" w:hAnsi="Verdana"/>
          <w:b w:val="false"/>
          <w:bCs w:val="false"/>
          <w:sz w:val="22"/>
          <w:szCs w:val="22"/>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85" w:after="85"/>
        <w:ind w:hanging="0" w:left="0" w:right="0"/>
        <w:contextualSpacing w:val="false"/>
        <w:jc w:val="both"/>
        <w:rPr/>
      </w:pPr>
      <w:r>
        <w:rPr>
          <w:rFonts w:cs="Verdana" w:ascii="Verdana" w:hAnsi="Verdana"/>
          <w:b w:val="false"/>
          <w:bCs w:val="false"/>
          <w:sz w:val="22"/>
          <w:szCs w:val="22"/>
          <w:lang w:eastAsia="ar-SA"/>
        </w:rPr>
        <w:t>a) SICAF;</w:t>
      </w:r>
    </w:p>
    <w:p>
      <w:pPr>
        <w:pStyle w:val="ListParagraph"/>
        <w:spacing w:lineRule="auto" w:line="276" w:before="85" w:after="85"/>
        <w:ind w:hanging="0" w:left="0" w:right="0"/>
        <w:contextualSpacing w:val="false"/>
        <w:jc w:val="both"/>
        <w:rPr/>
      </w:pPr>
      <w:r>
        <w:rPr>
          <w:rFonts w:cs="Verdana" w:ascii="Verdana" w:hAnsi="Verdana"/>
          <w:b w:val="false"/>
          <w:bCs w:val="false"/>
          <w:sz w:val="22"/>
          <w:szCs w:val="22"/>
          <w:lang w:eastAsia="ar-SA"/>
        </w:rPr>
        <w:t>b) Cadastro Nacional de Empresas Inidôneas e Suspensas – CEIS, mantido pela Controladoria-Geral da União (</w:t>
      </w:r>
      <w:hyperlink r:id="rId3">
        <w:r>
          <w:rPr>
            <w:rStyle w:val="Hyperlink"/>
            <w:rFonts w:cs="Verdana" w:ascii="Verdana" w:hAnsi="Verdana"/>
            <w:b w:val="false"/>
            <w:bCs w:val="false"/>
            <w:sz w:val="22"/>
            <w:szCs w:val="22"/>
            <w:lang w:eastAsia="ar-SA"/>
          </w:rPr>
          <w:t>www.portaldatransparencia.gov.br/ceis</w:t>
        </w:r>
      </w:hyperlink>
      <w:r>
        <w:rPr>
          <w:rFonts w:cs="Verdana" w:ascii="Verdana" w:hAnsi="Verdana"/>
          <w:b w:val="false"/>
          <w:bCs w:val="false"/>
          <w:sz w:val="22"/>
          <w:szCs w:val="22"/>
          <w:lang w:eastAsia="ar-SA"/>
        </w:rPr>
        <w:t>);</w:t>
      </w:r>
    </w:p>
    <w:p>
      <w:pPr>
        <w:pStyle w:val="ListParagraph"/>
        <w:spacing w:lineRule="auto" w:line="276" w:before="85" w:after="85"/>
        <w:ind w:hanging="0" w:left="0" w:right="0"/>
        <w:contextualSpacing w:val="false"/>
        <w:jc w:val="both"/>
        <w:rPr/>
      </w:pPr>
      <w:r>
        <w:rPr>
          <w:rFonts w:cs="Verdana" w:ascii="Verdana" w:hAnsi="Verdana"/>
          <w:b w:val="false"/>
          <w:bCs w:val="false"/>
          <w:sz w:val="22"/>
          <w:szCs w:val="22"/>
          <w:lang w:eastAsia="ar-SA"/>
        </w:rPr>
        <w:t>c) Cadastro Nacional de Condenações Cíveis por Atos de Improbidade Administrativa, mantido pelo Conselho Nacional de Justiça (</w:t>
      </w:r>
      <w:hyperlink r:id="rId4">
        <w:r>
          <w:rPr>
            <w:rStyle w:val="Hyperlink"/>
            <w:rFonts w:cs="Verdana" w:ascii="Verdana" w:hAnsi="Verdana"/>
            <w:b w:val="false"/>
            <w:bCs w:val="false"/>
            <w:sz w:val="22"/>
            <w:szCs w:val="22"/>
            <w:lang w:eastAsia="ar-SA"/>
          </w:rPr>
          <w:t>www.cnj.jus.br/improbidade_adm/consultar_requerido.php</w:t>
        </w:r>
      </w:hyperlink>
      <w:r>
        <w:rPr>
          <w:rFonts w:cs="Verdana" w:ascii="Verdana" w:hAnsi="Verdana"/>
          <w:b w:val="false"/>
          <w:bCs w:val="false"/>
          <w:sz w:val="22"/>
          <w:szCs w:val="22"/>
          <w:lang w:eastAsia="ar-SA"/>
        </w:rPr>
        <w:t>).</w:t>
      </w:r>
    </w:p>
    <w:p>
      <w:pPr>
        <w:pStyle w:val="ListParagraph"/>
        <w:spacing w:lineRule="auto" w:line="276" w:before="85" w:after="85"/>
        <w:ind w:hanging="0" w:left="0" w:right="0"/>
        <w:contextualSpacing w:val="false"/>
        <w:jc w:val="both"/>
        <w:rPr/>
      </w:pPr>
      <w:r>
        <w:rPr>
          <w:rFonts w:cs="Verdana" w:ascii="Verdana" w:hAnsi="Verdana"/>
          <w:b w:val="false"/>
          <w:bCs w:val="false"/>
          <w:sz w:val="22"/>
          <w:szCs w:val="22"/>
          <w:lang w:eastAsia="ar-SA"/>
        </w:rPr>
        <w:t>d) Cadastro de Inidôneos e o Cadastro Integrado de Condenações por Ilícitos Administrativos – CADICON, mantidos pelo Tribunal de Contas da União – TCU;</w:t>
      </w:r>
    </w:p>
    <w:p>
      <w:pPr>
        <w:pStyle w:val="Normal"/>
        <w:spacing w:lineRule="auto" w:line="276" w:before="85" w:after="85"/>
        <w:ind w:hanging="0" w:left="0"/>
        <w:jc w:val="both"/>
        <w:rPr/>
      </w:pPr>
      <w:r>
        <w:rPr>
          <w:rFonts w:cs="Verdana" w:ascii="Verdana" w:hAnsi="Verdana"/>
          <w:b w:val="false"/>
          <w:bCs w:val="false"/>
          <w:sz w:val="22"/>
          <w:szCs w:val="22"/>
          <w:lang w:eastAsia="ar-SA"/>
        </w:rPr>
        <w:t>e) Cadastro de empresas inid</w:t>
      </w:r>
      <w:r>
        <w:rPr>
          <w:rFonts w:cs="Verdana" w:ascii="Verdana" w:hAnsi="Verdana"/>
          <w:b w:val="false"/>
          <w:bCs w:val="false"/>
          <w:sz w:val="22"/>
          <w:szCs w:val="22"/>
        </w:rPr>
        <w:t>ôneas, mantido pelo Tribunal de Contas do Estado do Espírito Santo –TCE/ES(https://www.tcees.tc.br/portal-da-transparencia/consultas/lista-de-responsaveis/empresas-inidoneas/) e proibidas de contratar com o Poder Público estadual ou municipal(</w:t>
      </w:r>
      <w:hyperlink r:id="rId5">
        <w:r>
          <w:rPr>
            <w:rStyle w:val="Hyperlink"/>
            <w:rFonts w:cs="Verdana" w:ascii="Verdana" w:hAnsi="Verdana"/>
            <w:b w:val="false"/>
            <w:bCs w:val="false"/>
            <w:sz w:val="22"/>
            <w:szCs w:val="22"/>
          </w:rPr>
          <w:t>https://www.tcees.tc.br/portal-da-transparencia/consultas/lista-de</w:t>
        </w:r>
      </w:hyperlink>
      <w:r>
        <w:rPr>
          <w:rFonts w:cs="Verdana" w:ascii="Verdana" w:hAnsi="Verdana"/>
          <w:b w:val="false"/>
          <w:bCs w:val="false"/>
          <w:sz w:val="22"/>
          <w:szCs w:val="22"/>
        </w:rPr>
        <w:t xml:space="preserve"> responsáveis/proibidos-de-contratar/).</w:t>
      </w:r>
    </w:p>
    <w:p>
      <w:pPr>
        <w:pStyle w:val="Normal"/>
        <w:spacing w:lineRule="auto" w:line="276" w:before="85" w:after="85"/>
        <w:ind w:hanging="0" w:left="0"/>
        <w:jc w:val="both"/>
        <w:rPr/>
      </w:pPr>
      <w:r>
        <w:rPr>
          <w:rFonts w:cs="Verdana" w:ascii="Verdana" w:hAnsi="Verdana"/>
          <w:b w:val="false"/>
          <w:bCs w:val="false"/>
          <w:sz w:val="22"/>
          <w:szCs w:val="22"/>
          <w:lang w:eastAsia="ar-SA"/>
        </w:rPr>
        <w:t>10.1.1. Para a consulta de licitantes pessoa jurídica poderá haver a substituição das consultas das alíneas “b”, “c” e “d” acima pela Consulta Consolidada de Pessoa Jurídica do TCU (</w:t>
      </w:r>
      <w:hyperlink r:id="rId6">
        <w:r>
          <w:rPr>
            <w:rStyle w:val="Hyperlink"/>
            <w:rFonts w:cs="Verdana" w:ascii="Verdana" w:hAnsi="Verdana"/>
            <w:b w:val="false"/>
            <w:bCs w:val="false"/>
            <w:sz w:val="22"/>
            <w:szCs w:val="22"/>
            <w:lang w:eastAsia="ar-SA"/>
          </w:rPr>
          <w:t>https://certidoesapf.apps.tcu.gov.br/</w:t>
        </w:r>
      </w:hyperlink>
      <w:r>
        <w:rPr>
          <w:rFonts w:cs="Verdana" w:ascii="Verdana" w:hAnsi="Verdana"/>
          <w:b w:val="false"/>
          <w:bCs w:val="false"/>
          <w:sz w:val="22"/>
          <w:szCs w:val="22"/>
          <w:lang w:eastAsia="ar-SA"/>
        </w:rPr>
        <w:t>);</w:t>
      </w:r>
    </w:p>
    <w:p>
      <w:pPr>
        <w:pStyle w:val="Normal"/>
        <w:spacing w:lineRule="auto" w:line="276" w:before="85" w:after="85"/>
        <w:ind w:hanging="0" w:left="0"/>
        <w:jc w:val="both"/>
        <w:rPr/>
      </w:pPr>
      <w:r>
        <w:rPr>
          <w:rFonts w:cs="Verdana" w:ascii="Verdana" w:hAnsi="Verdana"/>
          <w:b w:val="false"/>
          <w:bCs w:val="false"/>
          <w:color w:val="000000"/>
          <w:sz w:val="22"/>
          <w:szCs w:val="22"/>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85" w:after="85"/>
        <w:ind w:hanging="0" w:left="0" w:right="0"/>
        <w:contextualSpacing w:val="false"/>
        <w:jc w:val="both"/>
        <w:rPr/>
      </w:pPr>
      <w:r>
        <w:rPr>
          <w:rFonts w:cs="Verdana" w:ascii="Verdana" w:hAnsi="Verdana"/>
          <w:b w:val="false"/>
          <w:bCs w:val="false"/>
          <w:color w:val="000000"/>
          <w:sz w:val="22"/>
          <w:szCs w:val="22"/>
        </w:rPr>
        <w:t>10.1.3.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85" w:after="85"/>
        <w:ind w:hanging="0" w:left="0" w:right="0"/>
        <w:contextualSpacing w:val="false"/>
        <w:jc w:val="both"/>
        <w:rPr/>
      </w:pPr>
      <w:r>
        <w:rPr>
          <w:rFonts w:cs="Verdana" w:ascii="Verdana" w:hAnsi="Verdana"/>
          <w:b w:val="false"/>
          <w:bCs w:val="false"/>
          <w:color w:val="000000"/>
          <w:sz w:val="22"/>
          <w:szCs w:val="22"/>
        </w:rPr>
        <w:t>10.1.4.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85" w:after="85"/>
        <w:ind w:hanging="0" w:left="0" w:right="0"/>
        <w:contextualSpacing w:val="false"/>
        <w:jc w:val="both"/>
        <w:rPr/>
      </w:pPr>
      <w:r>
        <w:rPr>
          <w:rFonts w:cs="Verdana" w:ascii="Verdana" w:hAnsi="Verdana"/>
          <w:b w:val="false"/>
          <w:bCs w:val="false"/>
          <w:color w:val="000000"/>
          <w:sz w:val="22"/>
          <w:szCs w:val="22"/>
        </w:rPr>
        <w:t>10.1.5. O licitante será convocado para manifestação previamente à sua desclassificação.</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10.1.6 .Constatada a existência de sanção, o Pregoeiro reputará o licitante inabilitado, por falta de condição de participação.</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10.1.7.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76" w:before="85" w:after="85"/>
        <w:ind w:hanging="0" w:left="0" w:right="0"/>
        <w:contextualSpacing w:val="false"/>
        <w:jc w:val="both"/>
        <w:rPr/>
      </w:pPr>
      <w:r>
        <w:rPr>
          <w:rFonts w:cs="Verdana" w:ascii="Verdana" w:hAnsi="Verdana"/>
          <w:b w:val="false"/>
          <w:bCs w:val="false"/>
          <w:sz w:val="22"/>
          <w:szCs w:val="22"/>
          <w:lang w:eastAsia="ar-SA"/>
        </w:rPr>
        <w:t xml:space="preserve">10.1.8. </w:t>
      </w:r>
      <w:r>
        <w:rPr>
          <w:rFonts w:cs="Verdana" w:ascii="Verdana" w:hAnsi="Verdana"/>
          <w:b w:val="false"/>
          <w:bCs w:val="false"/>
          <w:color w:val="000000"/>
          <w:sz w:val="22"/>
          <w:szCs w:val="22"/>
        </w:rPr>
        <w:t xml:space="preserve">Caso atendidas as condições de participação, </w:t>
      </w:r>
      <w:r>
        <w:rPr>
          <w:rFonts w:cs="Verdana" w:ascii="Verdana" w:hAnsi="Verdana"/>
          <w:b w:val="false"/>
          <w:bCs w:val="false"/>
          <w:sz w:val="22"/>
          <w:szCs w:val="22"/>
        </w:rPr>
        <w:t>a habilitação dos licitantes será verificada por meio do SICAF, nos documentos por ele abrangidos</w:t>
      </w:r>
      <w:r>
        <w:rPr>
          <w:rFonts w:cs="Verdana" w:ascii="Verdana" w:hAnsi="Verdana"/>
          <w:b w:val="false"/>
          <w:bCs w:val="false"/>
          <w:sz w:val="22"/>
          <w:szCs w:val="22"/>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76" w:before="85" w:after="85"/>
        <w:ind w:hanging="0" w:left="0" w:right="0"/>
        <w:contextualSpacing w:val="false"/>
        <w:jc w:val="both"/>
        <w:rPr/>
      </w:pPr>
      <w:r>
        <w:rPr>
          <w:rFonts w:cs="Verdana" w:ascii="Verdana" w:hAnsi="Verdana"/>
          <w:b w:val="false"/>
          <w:bCs w:val="false"/>
          <w:sz w:val="22"/>
          <w:szCs w:val="22"/>
          <w:lang w:eastAsia="ar-SA"/>
        </w:rPr>
        <w:t>10.1.9.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10.1.10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10.1.11. O descu</w:t>
      </w:r>
      <w:r>
        <w:rPr>
          <w:rFonts w:cs="Verdana" w:ascii="Verdana" w:hAnsi="Verdana"/>
          <w:color w:val="000000"/>
          <w:sz w:val="22"/>
          <w:szCs w:val="22"/>
        </w:rPr>
        <w:t>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tabs>
          <w:tab w:val="clear" w:pos="708"/>
          <w:tab w:val="left" w:pos="567" w:leader="none"/>
        </w:tabs>
        <w:spacing w:lineRule="auto" w:line="276" w:before="85" w:after="85"/>
        <w:ind w:hanging="0" w:left="0"/>
        <w:rPr/>
      </w:pPr>
      <w:r>
        <w:rPr>
          <w:rFonts w:cs="Verdana" w:ascii="Verdana" w:hAnsi="Verdana"/>
          <w:b w:val="false"/>
          <w:bCs w:val="false"/>
          <w:color w:val="000000"/>
          <w:sz w:val="22"/>
          <w:szCs w:val="22"/>
        </w:rPr>
        <w:t>10.1.12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tabs>
          <w:tab w:val="clear" w:pos="708"/>
          <w:tab w:val="left" w:pos="567" w:leader="none"/>
        </w:tabs>
        <w:spacing w:lineRule="auto" w:line="276" w:before="85" w:after="85"/>
        <w:ind w:hanging="0" w:left="0"/>
        <w:rPr/>
      </w:pPr>
      <w:r>
        <w:rPr>
          <w:rFonts w:cs="Verdana" w:ascii="Verdana" w:hAnsi="Verdana"/>
          <w:b w:val="false"/>
          <w:bCs w:val="false"/>
          <w:sz w:val="22"/>
          <w:szCs w:val="22"/>
        </w:rPr>
        <w:t>10.1.13.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lineRule="auto" w:line="276" w:before="85" w:after="85"/>
        <w:ind w:hanging="0" w:left="0"/>
        <w:rPr/>
      </w:pPr>
      <w:r>
        <w:rPr>
          <w:rFonts w:cs="Verdana" w:ascii="Verdana" w:hAnsi="Verdana"/>
          <w:b w:val="false"/>
          <w:bCs w:val="false"/>
          <w:sz w:val="22"/>
          <w:szCs w:val="22"/>
        </w:rPr>
        <w:t>10.1.14. Não serão aceitos documentos de habilitação com indicação de CNPJ/CPF diferentes, salvo aqueles legalmente permitidos.</w:t>
      </w:r>
    </w:p>
    <w:p>
      <w:pPr>
        <w:pStyle w:val="PADRO"/>
        <w:widowControl/>
        <w:tabs>
          <w:tab w:val="clear" w:pos="708"/>
          <w:tab w:val="left" w:pos="567" w:leader="none"/>
        </w:tabs>
        <w:spacing w:lineRule="auto" w:line="276" w:before="85" w:after="85"/>
        <w:ind w:hanging="0" w:left="0"/>
        <w:rPr/>
      </w:pPr>
      <w:r>
        <w:rPr>
          <w:rFonts w:cs="Verdana" w:ascii="Verdana" w:hAnsi="Verdana"/>
          <w:b w:val="false"/>
          <w:bCs w:val="false"/>
          <w:sz w:val="22"/>
          <w:szCs w:val="22"/>
        </w:rPr>
        <w:t>10.1.15.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276" w:before="85" w:after="85"/>
        <w:ind w:hanging="0" w:left="0"/>
        <w:rPr/>
      </w:pPr>
      <w:r>
        <w:rPr>
          <w:rFonts w:cs="Verdana" w:ascii="Verdana" w:hAnsi="Verdana"/>
          <w:b w:val="false"/>
          <w:bCs w:val="false"/>
          <w:color w:val="000000"/>
          <w:sz w:val="22"/>
          <w:szCs w:val="22"/>
        </w:rPr>
        <w:t>10.1.16</w:t>
      </w:r>
      <w:r>
        <w:rPr>
          <w:rFonts w:cs="Verdana" w:ascii="Verdana" w:hAnsi="Verdana"/>
          <w:color w:val="000000"/>
          <w:sz w:val="22"/>
          <w:szCs w:val="22"/>
        </w:rPr>
        <w:t xml:space="preserve"> Ressalvado o disposto no item 5.3, os licitantes deverão encaminhar, nos termos deste Edital, a documentação relacionada nos itens a seguir, para fins de habilitação:</w:t>
      </w:r>
    </w:p>
    <w:p>
      <w:pPr>
        <w:pStyle w:val="ListParagraph"/>
        <w:spacing w:lineRule="auto" w:line="276" w:before="85" w:after="85"/>
        <w:ind w:hanging="0" w:left="0" w:right="0"/>
        <w:contextualSpacing w:val="false"/>
        <w:jc w:val="both"/>
        <w:rPr/>
      </w:pPr>
      <w:r>
        <w:rPr>
          <w:rFonts w:cs="Verdana" w:ascii="Verdana" w:hAnsi="Verdana"/>
          <w:b/>
          <w:bCs/>
          <w:color w:val="000000"/>
          <w:sz w:val="22"/>
          <w:szCs w:val="22"/>
        </w:rPr>
        <w:t>10.2 Habilitação jurídica:</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10.2.1 No caso de empresário individual: inscrição no Registro Público de Empresas Mercantis, a cargo da Junta Comercial da respectiva sede;</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 xml:space="preserve">10.2.2 Em se tratando de microempreendedor individual – MEI: Certificado da Condição de Microempreendedor Individual – CCMEI, cuja aceitação ficará condicionada à verificação da autenticidade no sítio </w:t>
      </w:r>
      <w:hyperlink r:id="rId7">
        <w:r>
          <w:rPr>
            <w:rStyle w:val="Hyperlink"/>
            <w:rFonts w:cs="Verdana" w:ascii="Verdana" w:hAnsi="Verdana"/>
            <w:b w:val="false"/>
            <w:bCs w:val="false"/>
            <w:color w:val="000000"/>
            <w:sz w:val="22"/>
            <w:szCs w:val="22"/>
          </w:rPr>
          <w:t>www.portaldoempreendedor.gov.br</w:t>
        </w:r>
      </w:hyperlink>
      <w:r>
        <w:rPr>
          <w:rFonts w:cs="Verdana" w:ascii="Verdana" w:hAnsi="Verdana"/>
          <w:b w:val="false"/>
          <w:bCs w:val="false"/>
          <w:color w:val="000000"/>
          <w:sz w:val="22"/>
          <w:szCs w:val="22"/>
        </w:rPr>
        <w:t>;</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10.2.3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10.2.4 Inscrição no Registro Público de Empresas Mercantis onde opera, com averbação no Registro onde tem sede a matriz, no caso de ser o participante sucursal, filial ou agência;</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10.2.5 No caso de sociedade simples: inscrição do ato constitutivo no Registro Civil das Pessoas Jurídicas do local de sua sede, acompanhada de prova da indicação dos seus administradores;</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10.2.6</w:t>
      </w:r>
      <w:r>
        <w:rPr>
          <w:rFonts w:cs="Verdana" w:ascii="Verdana" w:hAnsi="Verdana"/>
          <w:b/>
          <w:bCs/>
          <w:color w:val="000000"/>
          <w:sz w:val="22"/>
          <w:szCs w:val="22"/>
        </w:rPr>
        <w:t xml:space="preserve"> </w:t>
      </w:r>
      <w:r>
        <w:rPr>
          <w:rFonts w:cs="Verdana" w:ascii="Verdana" w:hAnsi="Verdana"/>
          <w:bCs/>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10.2.7 No caso de empresa ou sociedade estrangeira em funcionamento no País: decreto de autorização;</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2"/>
          <w:szCs w:val="22"/>
        </w:rPr>
        <w:t>10.2.8 Os documentos acima deverão estar acompanhados de todas as alterações ou da c</w:t>
      </w:r>
      <w:r>
        <w:rPr>
          <w:rFonts w:cs="Verdana" w:ascii="Verdana" w:hAnsi="Verdana"/>
          <w:bCs/>
          <w:color w:val="000000"/>
          <w:sz w:val="22"/>
          <w:szCs w:val="22"/>
        </w:rPr>
        <w:t>onsolidação respectiva;</w:t>
      </w:r>
    </w:p>
    <w:p>
      <w:pPr>
        <w:pStyle w:val="ListParagraph"/>
        <w:spacing w:lineRule="auto" w:line="276" w:before="85" w:after="85"/>
        <w:ind w:hanging="0" w:left="0" w:right="0"/>
        <w:contextualSpacing w:val="false"/>
        <w:jc w:val="both"/>
        <w:rPr/>
      </w:pPr>
      <w:r>
        <w:rPr>
          <w:rFonts w:cs="Verdana" w:ascii="Verdana" w:hAnsi="Verdana"/>
          <w:b/>
          <w:bCs/>
          <w:color w:val="000000"/>
          <w:sz w:val="22"/>
          <w:szCs w:val="22"/>
        </w:rPr>
        <w:t xml:space="preserve">10.3. Regularidade fiscal </w:t>
      </w:r>
      <w:r>
        <w:rPr>
          <w:rFonts w:cs="Verdana" w:ascii="Verdana" w:hAnsi="Verdana"/>
          <w:b/>
          <w:bCs/>
          <w:sz w:val="22"/>
          <w:szCs w:val="22"/>
        </w:rPr>
        <w:t>e trabalhista</w:t>
      </w:r>
      <w:r>
        <w:rPr>
          <w:rFonts w:cs="Verdana" w:ascii="Verdana" w:hAnsi="Verdana"/>
          <w:b/>
          <w:bCs/>
          <w:color w:val="0000FF"/>
          <w:sz w:val="22"/>
          <w:szCs w:val="22"/>
        </w:rPr>
        <w:t>:</w:t>
      </w:r>
    </w:p>
    <w:p>
      <w:pPr>
        <w:pStyle w:val="Normal"/>
        <w:snapToGrid w:val="false"/>
        <w:spacing w:lineRule="auto" w:line="276" w:before="85" w:after="85"/>
        <w:ind w:hanging="0" w:left="0"/>
        <w:jc w:val="both"/>
        <w:rPr/>
      </w:pPr>
      <w:r>
        <w:rPr>
          <w:rFonts w:cs="Verdana" w:ascii="Verdana" w:hAnsi="Verdana"/>
          <w:b w:val="false"/>
          <w:bCs w:val="false"/>
          <w:sz w:val="22"/>
          <w:szCs w:val="22"/>
          <w:lang w:eastAsia="en-US"/>
        </w:rPr>
        <w:t>10.3.1 Prova de inscrição no Cadastro Nacional de Pessoas Jurídicas ou no Cadastro de Pessoas Físicas, conforme o caso;</w:t>
      </w:r>
    </w:p>
    <w:p>
      <w:pPr>
        <w:pStyle w:val="Normal"/>
        <w:snapToGrid w:val="false"/>
        <w:spacing w:lineRule="auto" w:line="276" w:before="85" w:after="85"/>
        <w:ind w:hanging="0" w:left="0"/>
        <w:jc w:val="both"/>
        <w:rPr/>
      </w:pPr>
      <w:r>
        <w:rPr>
          <w:rFonts w:cs="Verdana" w:ascii="Verdana" w:hAnsi="Verdana"/>
          <w:b w:val="false"/>
          <w:bCs w:val="false"/>
          <w:sz w:val="22"/>
          <w:szCs w:val="22"/>
          <w:lang w:eastAsia="en-US"/>
        </w:rPr>
        <w:t>10.3.2 Certidão de regularidade junto à fazenda pública Municipal, do domicílio do Licitante;</w:t>
      </w:r>
    </w:p>
    <w:p>
      <w:pPr>
        <w:pStyle w:val="Normal"/>
        <w:snapToGrid w:val="false"/>
        <w:spacing w:lineRule="auto" w:line="276" w:before="85" w:after="85"/>
        <w:ind w:hanging="0" w:left="0"/>
        <w:jc w:val="both"/>
        <w:rPr/>
      </w:pPr>
      <w:r>
        <w:rPr>
          <w:rFonts w:cs="Verdana" w:ascii="Verdana" w:hAnsi="Verdana"/>
          <w:b w:val="false"/>
          <w:bCs w:val="false"/>
          <w:sz w:val="22"/>
          <w:szCs w:val="22"/>
        </w:rPr>
        <w:t>10.3.3 Certidão de regularidade junto à fazenda pública Estadual, do domicílio do Licitante;</w:t>
      </w:r>
    </w:p>
    <w:p>
      <w:pPr>
        <w:pStyle w:val="Normal"/>
        <w:snapToGrid w:val="false"/>
        <w:spacing w:lineRule="auto" w:line="276" w:before="85" w:after="85"/>
        <w:ind w:hanging="0" w:left="0"/>
        <w:jc w:val="both"/>
        <w:rPr/>
      </w:pPr>
      <w:r>
        <w:rPr>
          <w:rFonts w:cs="Verdana" w:ascii="Verdana" w:hAnsi="Verdana"/>
          <w:b w:val="false"/>
          <w:bCs w:val="false"/>
          <w:sz w:val="22"/>
          <w:szCs w:val="22"/>
        </w:rPr>
        <w:t>10.3.4 Certidão conjunta de regularidade junto à fazenda pública Federal, (Quitação de tributos e contribuições Federais e Quanto à dívida ativa da União) e junto ao INSS, conforme Portaria MF nº 358 de 05/09/2014;</w:t>
      </w:r>
    </w:p>
    <w:p>
      <w:pPr>
        <w:pStyle w:val="Normal"/>
        <w:snapToGrid w:val="false"/>
        <w:spacing w:lineRule="auto" w:line="276" w:before="85" w:after="85"/>
        <w:ind w:hanging="0" w:left="0"/>
        <w:jc w:val="both"/>
        <w:rPr/>
      </w:pPr>
      <w:r>
        <w:rPr>
          <w:rFonts w:cs="Verdana" w:ascii="Verdana" w:hAnsi="Verdana"/>
          <w:b w:val="false"/>
          <w:bCs w:val="false"/>
          <w:sz w:val="22"/>
          <w:szCs w:val="22"/>
        </w:rPr>
        <w:t>10.3.5 Certidão de regularidade junto ao FGTS;</w:t>
      </w:r>
    </w:p>
    <w:p>
      <w:pPr>
        <w:pStyle w:val="Normal"/>
        <w:snapToGrid w:val="false"/>
        <w:spacing w:lineRule="auto" w:line="276" w:before="85" w:after="85"/>
        <w:ind w:hanging="0" w:left="0"/>
        <w:jc w:val="both"/>
        <w:rPr/>
      </w:pPr>
      <w:r>
        <w:rPr>
          <w:rFonts w:cs="Verdana" w:ascii="Verdana" w:hAnsi="Verdana"/>
          <w:b w:val="false"/>
          <w:bCs w:val="false"/>
          <w:sz w:val="22"/>
          <w:szCs w:val="22"/>
          <w:lang w:eastAsia="en-US"/>
        </w:rPr>
        <w:t>10.3.6 Certidão Negativa De Débitos Trabalhistas (CNDT) de acordo com a Lei 12440 de 7 de julho de 2011.</w:t>
      </w:r>
    </w:p>
    <w:p>
      <w:pPr>
        <w:pStyle w:val="Normal"/>
        <w:snapToGrid w:val="false"/>
        <w:spacing w:lineRule="auto" w:line="276" w:before="85" w:after="85"/>
        <w:ind w:hanging="0" w:left="0"/>
        <w:jc w:val="both"/>
        <w:rPr/>
      </w:pPr>
      <w:r>
        <w:rPr>
          <w:rFonts w:cs="Verdana" w:ascii="Verdana" w:hAnsi="Verdana"/>
          <w:b w:val="false"/>
          <w:bCs w:val="false"/>
          <w:color w:val="000000"/>
          <w:sz w:val="22"/>
          <w:szCs w:val="22"/>
          <w:lang w:eastAsia="en-US" w:bidi="pt-BR"/>
        </w:rPr>
        <w:t xml:space="preserve">10.3.7 Caso o vencedor do menor preço seja qualificado como microempresa ou empresa de pequeno porte </w:t>
      </w:r>
      <w:r>
        <w:rPr>
          <w:rFonts w:cs="Verdana" w:ascii="Verdana" w:hAnsi="Verdana"/>
          <w:b w:val="false"/>
          <w:bCs w:val="false"/>
          <w:color w:val="000000"/>
          <w:sz w:val="22"/>
          <w:szCs w:val="22"/>
          <w:lang w:eastAsia="en-US"/>
        </w:rPr>
        <w:t>deverá apresentar toda a documentação exigida para efeito de compr</w:t>
      </w:r>
      <w:r>
        <w:rPr>
          <w:rFonts w:cs="Verdana" w:ascii="Verdana" w:hAnsi="Verdana"/>
          <w:color w:val="000000"/>
          <w:sz w:val="22"/>
          <w:szCs w:val="22"/>
          <w:lang w:eastAsia="en-US"/>
        </w:rPr>
        <w:t>ovação de regularidade fiscal, mesmo que esta apresente alguma restrição, sob pena de inabilitação.</w:t>
      </w:r>
    </w:p>
    <w:p>
      <w:pPr>
        <w:pStyle w:val="Normal"/>
        <w:snapToGrid w:val="false"/>
        <w:spacing w:lineRule="auto" w:line="276" w:before="85" w:after="85"/>
        <w:ind w:hanging="0" w:left="0"/>
        <w:jc w:val="both"/>
        <w:rPr>
          <w:rFonts w:ascii="Verdana" w:hAnsi="Verdana" w:cs="Verdana"/>
          <w:color w:val="000000"/>
          <w:sz w:val="22"/>
          <w:szCs w:val="22"/>
          <w:lang w:eastAsia="en-US"/>
        </w:rPr>
      </w:pPr>
      <w:r>
        <w:rPr>
          <w:rFonts w:cs="Verdana" w:ascii="Verdana" w:hAnsi="Verdana"/>
          <w:color w:val="000000"/>
          <w:sz w:val="22"/>
          <w:szCs w:val="22"/>
          <w:lang w:eastAsia="en-US"/>
        </w:rPr>
      </w:r>
    </w:p>
    <w:p>
      <w:pPr>
        <w:pStyle w:val="ListParagraph"/>
        <w:spacing w:lineRule="auto" w:line="276" w:before="85" w:after="85"/>
        <w:ind w:hanging="0" w:left="0" w:right="0"/>
        <w:contextualSpacing w:val="false"/>
        <w:jc w:val="both"/>
        <w:rPr/>
      </w:pPr>
      <w:r>
        <w:rPr>
          <w:rFonts w:cs="Verdana" w:ascii="Verdana" w:hAnsi="Verdana"/>
          <w:b/>
          <w:color w:val="000000"/>
          <w:sz w:val="22"/>
          <w:szCs w:val="22"/>
        </w:rPr>
        <w:tab/>
        <w:t>10.4 Qualificação Econômico-Financeira</w:t>
      </w:r>
      <w:r>
        <w:rPr>
          <w:rFonts w:cs="Verdana" w:ascii="Verdana" w:hAnsi="Verdana"/>
          <w:color w:val="000000"/>
          <w:sz w:val="22"/>
          <w:szCs w:val="22"/>
        </w:rPr>
        <w:t>.</w:t>
      </w:r>
    </w:p>
    <w:p>
      <w:pPr>
        <w:pStyle w:val="Normal"/>
        <w:tabs>
          <w:tab w:val="clear" w:pos="708"/>
          <w:tab w:val="left" w:pos="850" w:leader="none"/>
        </w:tabs>
        <w:snapToGrid w:val="false"/>
        <w:spacing w:lineRule="auto" w:line="276" w:before="85" w:after="85"/>
        <w:ind w:hanging="0" w:left="0"/>
        <w:jc w:val="both"/>
        <w:rPr/>
      </w:pPr>
      <w:r>
        <w:rPr>
          <w:rFonts w:cs="Verdana" w:ascii="Verdana" w:hAnsi="Verdana"/>
          <w:b w:val="false"/>
          <w:bCs w:val="false"/>
          <w:color w:val="000000"/>
          <w:sz w:val="22"/>
          <w:szCs w:val="22"/>
          <w:u w:val="none"/>
        </w:rPr>
        <w:t>10.4.1 Certidão negativa de falência, recuperação judicial e extrajudicial, expedida pelo cartório distribuidor da sede da Licitante ou por meio digital, emitida em até 30 (trinta) dias anteriores à data de abertura da Dispensa de Licitação;</w:t>
      </w:r>
    </w:p>
    <w:p>
      <w:pPr>
        <w:pStyle w:val="Normal"/>
        <w:tabs>
          <w:tab w:val="clear" w:pos="708"/>
          <w:tab w:val="left" w:pos="850" w:leader="none"/>
        </w:tabs>
        <w:snapToGrid w:val="false"/>
        <w:spacing w:lineRule="auto" w:line="276" w:before="85" w:after="85"/>
        <w:ind w:hanging="0" w:left="0"/>
        <w:jc w:val="both"/>
        <w:rPr/>
      </w:pPr>
      <w:r>
        <w:rPr>
          <w:rFonts w:cs="Verdana" w:ascii="Verdana" w:hAnsi="Verdana"/>
          <w:b w:val="false"/>
          <w:bCs w:val="false"/>
          <w:color w:val="000000"/>
          <w:sz w:val="22"/>
          <w:szCs w:val="22"/>
          <w:u w:val="none"/>
        </w:rPr>
        <w:t>10.4.2 Havendo algum prazo de validade estabelecido por cartório na certidão citada na letra anterior, será considerado o prazo constante da certidão para comprovação da sua validade.</w:t>
      </w:r>
    </w:p>
    <w:p>
      <w:pPr>
        <w:pStyle w:val="Normal"/>
        <w:widowControl/>
        <w:tabs>
          <w:tab w:val="clear" w:pos="708"/>
          <w:tab w:val="left" w:pos="850" w:leader="none"/>
        </w:tabs>
        <w:suppressAutoHyphens w:val="true"/>
        <w:bidi w:val="0"/>
        <w:snapToGrid w:val="false"/>
        <w:spacing w:lineRule="auto" w:line="276" w:before="85" w:after="85"/>
        <w:ind w:hanging="0" w:left="0" w:right="0"/>
        <w:jc w:val="both"/>
        <w:rPr/>
      </w:pPr>
      <w:r>
        <w:rPr>
          <w:rFonts w:cs="Verdana" w:ascii="Verdana" w:hAnsi="Verdana"/>
          <w:b w:val="false"/>
          <w:bCs w:val="false"/>
          <w:sz w:val="22"/>
          <w:szCs w:val="22"/>
          <w:u w:val="none"/>
        </w:rPr>
        <w:t>10.4.3 Para a contagem do prazo estabelecido na letra “a” deste capítulo, será contado a partir do primeiro dia que antecede a data da realização desta dispensa de licitação.</w:t>
      </w:r>
    </w:p>
    <w:p>
      <w:pPr>
        <w:pStyle w:val="Normal"/>
        <w:tabs>
          <w:tab w:val="clear" w:pos="708"/>
          <w:tab w:val="left" w:pos="850" w:leader="none"/>
        </w:tabs>
        <w:snapToGrid w:val="false"/>
        <w:spacing w:lineRule="auto" w:line="276" w:before="85" w:after="85"/>
        <w:ind w:hanging="0" w:left="0" w:right="0"/>
        <w:jc w:val="both"/>
        <w:rPr/>
      </w:pPr>
      <w:r>
        <w:rPr>
          <w:rFonts w:cs="Verdana" w:ascii="Verdana" w:hAnsi="Verdana"/>
          <w:b w:val="false"/>
          <w:bCs w:val="false"/>
          <w:iCs/>
          <w:color w:val="000000"/>
          <w:sz w:val="22"/>
          <w:szCs w:val="22"/>
          <w:u w:val="none"/>
          <w:shd w:fill="auto" w:val="clear"/>
          <w:lang w:eastAsia="en-US"/>
        </w:rPr>
        <w:t>10.4.4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spacing w:lineRule="auto" w:line="276" w:before="85" w:after="85"/>
        <w:ind w:hanging="0" w:left="0" w:right="0"/>
        <w:jc w:val="both"/>
        <w:rPr>
          <w:rFonts w:ascii="Verdana" w:hAnsi="Verdana" w:cs="Verdana"/>
          <w:b w:val="false"/>
          <w:bCs w:val="false"/>
          <w:iCs/>
          <w:color w:val="000000"/>
          <w:sz w:val="22"/>
          <w:szCs w:val="22"/>
          <w:u w:val="none"/>
          <w:shd w:fill="auto" w:val="clear"/>
          <w:lang w:eastAsia="en-US"/>
        </w:rPr>
      </w:pPr>
      <w:r>
        <w:rPr>
          <w:rFonts w:cs="Verdana" w:ascii="Verdana" w:hAnsi="Verdana"/>
          <w:b w:val="false"/>
          <w:bCs w:val="false"/>
          <w:iCs/>
          <w:color w:val="000000"/>
          <w:sz w:val="22"/>
          <w:szCs w:val="22"/>
          <w:u w:val="none"/>
          <w:shd w:fill="auto" w:val="clear"/>
          <w:lang w:eastAsia="en-US"/>
        </w:rPr>
      </w:r>
    </w:p>
    <w:p>
      <w:pPr>
        <w:pStyle w:val="Normal"/>
        <w:suppressAutoHyphens w:val="false"/>
        <w:spacing w:lineRule="auto" w:line="276" w:before="85" w:after="85"/>
        <w:ind w:hanging="0" w:left="0"/>
        <w:jc w:val="both"/>
        <w:rPr/>
      </w:pPr>
      <w:r>
        <w:rPr>
          <w:rFonts w:cs="Arial" w:ascii="Verdana" w:hAnsi="Verdana"/>
          <w:b/>
          <w:sz w:val="22"/>
          <w:szCs w:val="22"/>
        </w:rPr>
        <w:t>11. RESULTADOS PRETENDIDOS COM A CONTRATAÇÃO</w:t>
      </w:r>
    </w:p>
    <w:p>
      <w:pPr>
        <w:pStyle w:val="Normal"/>
        <w:spacing w:lineRule="auto" w:line="276" w:before="85" w:after="85"/>
        <w:ind w:hanging="0" w:left="0"/>
        <w:jc w:val="both"/>
        <w:rPr/>
      </w:pPr>
      <w:r>
        <w:rPr>
          <w:rFonts w:cs="Arial" w:ascii="Verdana" w:hAnsi="Verdana"/>
          <w:b w:val="false"/>
          <w:bCs w:val="false"/>
          <w:sz w:val="22"/>
          <w:szCs w:val="22"/>
        </w:rPr>
        <w:t xml:space="preserve">11.1  </w:t>
      </w:r>
      <w:r>
        <w:rPr>
          <w:rFonts w:eastAsia="Arial" w:cs="Arial" w:ascii="Verdana" w:hAnsi="Verdana"/>
          <w:b w:val="false"/>
          <w:bCs w:val="false"/>
          <w:sz w:val="24"/>
          <w:szCs w:val="24"/>
        </w:rPr>
        <w:t xml:space="preserve"> C</w:t>
      </w:r>
      <w:r>
        <w:rPr>
          <w:rFonts w:eastAsia="Arial" w:cs="Arial" w:ascii="Verdana" w:hAnsi="Verdana"/>
          <w:b w:val="false"/>
          <w:bCs w:val="false"/>
          <w:sz w:val="22"/>
          <w:szCs w:val="22"/>
        </w:rPr>
        <w:t>om a aquisição pretendida, buscaremos suprir as necessidades da Secretaria Municipal de Educação e atender de forma mais adequada todos os usuáris dos nossos serviços. O quantitativo será suficiente para suprir a demanda desta Secretaria.</w:t>
      </w:r>
    </w:p>
    <w:p>
      <w:pPr>
        <w:pStyle w:val="Normal"/>
        <w:spacing w:lineRule="auto" w:line="276" w:before="85" w:after="85"/>
        <w:ind w:hanging="0" w:left="0"/>
        <w:jc w:val="both"/>
        <w:rPr>
          <w:rFonts w:ascii="Verdana" w:hAnsi="Verdana" w:cs="Arial"/>
          <w:b/>
          <w:sz w:val="22"/>
          <w:szCs w:val="22"/>
        </w:rPr>
      </w:pPr>
      <w:r>
        <w:rPr>
          <w:rFonts w:cs="Arial" w:ascii="Verdana" w:hAnsi="Verdana"/>
          <w:b/>
          <w:sz w:val="22"/>
          <w:szCs w:val="22"/>
        </w:rPr>
      </w:r>
    </w:p>
    <w:p>
      <w:pPr>
        <w:pStyle w:val="Normal"/>
        <w:spacing w:lineRule="auto" w:line="276" w:before="85" w:after="85"/>
        <w:ind w:hanging="0" w:left="0"/>
        <w:jc w:val="both"/>
        <w:rPr/>
      </w:pPr>
      <w:r>
        <w:rPr>
          <w:rFonts w:cs="Arial" w:ascii="Verdana" w:hAnsi="Verdana"/>
          <w:b/>
          <w:sz w:val="22"/>
          <w:szCs w:val="22"/>
        </w:rPr>
        <w:t>12. PROVIDÊNCIAS A SEREM ADOTADAS</w:t>
      </w:r>
    </w:p>
    <w:p>
      <w:pPr>
        <w:pStyle w:val="Normal"/>
        <w:spacing w:lineRule="auto" w:line="276" w:before="85" w:after="85"/>
        <w:ind w:hanging="0" w:left="0"/>
        <w:jc w:val="both"/>
        <w:rPr/>
      </w:pPr>
      <w:r>
        <w:rPr>
          <w:rFonts w:cs="Arial" w:ascii="Verdana" w:hAnsi="Verdana"/>
          <w:b/>
          <w:bCs/>
          <w:sz w:val="22"/>
          <w:szCs w:val="22"/>
        </w:rPr>
        <w:t>12.1 Recursos materiais e humanos</w:t>
      </w:r>
    </w:p>
    <w:p>
      <w:pPr>
        <w:pStyle w:val="Normal"/>
        <w:spacing w:lineRule="auto" w:line="276" w:before="85" w:after="85"/>
        <w:ind w:hanging="0" w:left="0"/>
        <w:jc w:val="both"/>
        <w:rPr/>
      </w:pPr>
      <w:r>
        <w:rPr>
          <w:rFonts w:cs="Arial" w:ascii="Verdana" w:hAnsi="Verdana"/>
          <w:b w:val="false"/>
          <w:bCs w:val="false"/>
          <w:sz w:val="22"/>
          <w:szCs w:val="22"/>
        </w:rPr>
        <w:t>12.1.1. Além da Equipe de Gestão do Contrato, as Secretarias envolvidas disponibilizarão recursos materiais e humanos, para acompanhamento dos contratos e da prestação dos serviços pela contratada.</w:t>
      </w:r>
    </w:p>
    <w:p>
      <w:pPr>
        <w:pStyle w:val="Normal"/>
        <w:spacing w:lineRule="auto" w:line="276" w:before="85" w:after="85"/>
        <w:ind w:hanging="0" w:left="0"/>
        <w:jc w:val="both"/>
        <w:rPr/>
      </w:pPr>
      <w:r>
        <w:rPr>
          <w:rFonts w:cs="Arial" w:ascii="Verdana" w:hAnsi="Verdana"/>
          <w:b w:val="false"/>
          <w:bCs w:val="false"/>
          <w:sz w:val="22"/>
          <w:szCs w:val="22"/>
        </w:rPr>
        <w:t xml:space="preserve">12.2. As secretarias envolvidas na contratação deverão acompanhar, fiscalizar, comprovar e relatar, por escrito, as eventuais irregularidades na execução dos serviços, através dos Fiscais de Contrato </w:t>
      </w:r>
      <w:r>
        <w:rPr>
          <w:rFonts w:ascii="Verdana" w:hAnsi="Verdana"/>
          <w:b w:val="false"/>
          <w:bCs w:val="false"/>
          <w:sz w:val="22"/>
          <w:szCs w:val="22"/>
        </w:rPr>
        <w:t>(Técnicos e Administrativos)</w:t>
      </w:r>
      <w:r>
        <w:rPr>
          <w:rFonts w:cs="Arial" w:ascii="Verdana" w:hAnsi="Verdana"/>
          <w:b w:val="false"/>
          <w:bCs w:val="false"/>
          <w:sz w:val="22"/>
          <w:szCs w:val="22"/>
        </w:rPr>
        <w:t>. Deveram ser nomeados quantidade de fiscais suficientes para um efetivo acompanhamento da execução do contrato, devendo ter Fiscal Técnico e Fiscal Administrativo (contrato).</w:t>
      </w:r>
    </w:p>
    <w:p>
      <w:pPr>
        <w:pStyle w:val="Normal"/>
        <w:spacing w:lineRule="auto" w:line="276" w:before="85" w:after="85"/>
        <w:ind w:hanging="0" w:left="0"/>
        <w:jc w:val="both"/>
        <w:rPr/>
      </w:pPr>
      <w:r>
        <w:rPr>
          <w:rFonts w:cs="Arial" w:ascii="Verdana" w:hAnsi="Verdana"/>
          <w:b/>
          <w:bCs/>
          <w:sz w:val="22"/>
          <w:szCs w:val="22"/>
        </w:rPr>
        <w:t>12.3 Descontinuidades do Fornecimento</w:t>
      </w:r>
    </w:p>
    <w:p>
      <w:pPr>
        <w:pStyle w:val="Normal"/>
        <w:spacing w:lineRule="auto" w:line="276" w:before="85" w:after="85"/>
        <w:ind w:hanging="0" w:left="0"/>
        <w:jc w:val="both"/>
        <w:rPr/>
      </w:pPr>
      <w:r>
        <w:rPr>
          <w:rFonts w:cs="Arial" w:ascii="Verdana" w:hAnsi="Verdana"/>
          <w:b w:val="false"/>
          <w:bCs w:val="false"/>
          <w:sz w:val="22"/>
          <w:szCs w:val="22"/>
        </w:rPr>
        <w:t>12.3.1. No caso de descontinuidade e/ou paralisação, o gestor do contrato tomará as providências cabíveis, de acordo com cláusulas do edital e contrato, visando sanar problemas por ventura ocorridos.</w:t>
      </w:r>
      <w:r>
        <w:rPr>
          <w:rFonts w:cs="Arial"/>
          <w:b w:val="false"/>
          <w:bCs w:val="false"/>
          <w:sz w:val="24"/>
          <w:szCs w:val="24"/>
        </w:rPr>
        <w:t xml:space="preserve"> </w:t>
      </w:r>
    </w:p>
    <w:p>
      <w:pPr>
        <w:pStyle w:val="Normal"/>
        <w:spacing w:lineRule="auto" w:line="276" w:before="85" w:after="85"/>
        <w:ind w:hanging="0" w:left="0"/>
        <w:jc w:val="both"/>
        <w:rPr>
          <w:rFonts w:ascii="Verdana" w:hAnsi="Verdana" w:cs="Arial"/>
          <w:b/>
          <w:sz w:val="22"/>
          <w:szCs w:val="22"/>
        </w:rPr>
      </w:pPr>
      <w:r>
        <w:rPr>
          <w:rFonts w:cs="Arial" w:ascii="Verdana" w:hAnsi="Verdana"/>
          <w:b/>
          <w:sz w:val="22"/>
          <w:szCs w:val="22"/>
        </w:rPr>
      </w:r>
    </w:p>
    <w:p>
      <w:pPr>
        <w:pStyle w:val="Normal"/>
        <w:suppressAutoHyphens w:val="false"/>
        <w:spacing w:lineRule="auto" w:line="276" w:before="85" w:after="85"/>
        <w:ind w:hanging="0" w:left="0"/>
        <w:jc w:val="both"/>
        <w:rPr/>
      </w:pPr>
      <w:r>
        <w:rPr>
          <w:rFonts w:cs="Arial" w:ascii="Verdana" w:hAnsi="Verdana"/>
          <w:b/>
          <w:sz w:val="22"/>
          <w:szCs w:val="22"/>
        </w:rPr>
        <w:t>13. POSSÍVEIS IMPACTOS AMBIENTAIS</w:t>
      </w:r>
    </w:p>
    <w:p>
      <w:pPr>
        <w:pStyle w:val="Normal"/>
        <w:spacing w:lineRule="auto" w:line="276" w:before="85" w:after="85"/>
        <w:ind w:hanging="0" w:left="0"/>
        <w:jc w:val="both"/>
        <w:rPr/>
      </w:pPr>
      <w:r>
        <w:rPr>
          <w:rFonts w:cs="Arial" w:ascii="Verdana" w:hAnsi="Verdana"/>
          <w:sz w:val="22"/>
          <w:szCs w:val="22"/>
        </w:rPr>
        <w:t>13.1. Não haverá danos ao meio ambiente</w:t>
      </w:r>
      <w:r>
        <w:rPr>
          <w:rFonts w:cs="Arial" w:ascii="Verdana" w:hAnsi="Verdana"/>
          <w:b/>
          <w:sz w:val="22"/>
          <w:szCs w:val="22"/>
        </w:rPr>
        <w:t>.</w:t>
      </w:r>
    </w:p>
    <w:p>
      <w:pPr>
        <w:pStyle w:val="Normal"/>
        <w:spacing w:lineRule="auto" w:line="276" w:before="85" w:after="85"/>
        <w:ind w:hanging="0" w:left="0"/>
        <w:jc w:val="both"/>
        <w:rPr>
          <w:rFonts w:ascii="Verdana" w:hAnsi="Verdana" w:cs="Arial"/>
          <w:b/>
          <w:sz w:val="22"/>
          <w:szCs w:val="22"/>
        </w:rPr>
      </w:pPr>
      <w:r>
        <w:rPr>
          <w:rFonts w:cs="Arial" w:ascii="Verdana" w:hAnsi="Verdana"/>
          <w:b/>
          <w:sz w:val="22"/>
          <w:szCs w:val="22"/>
        </w:rPr>
      </w:r>
    </w:p>
    <w:p>
      <w:pPr>
        <w:pStyle w:val="Normal"/>
        <w:spacing w:lineRule="auto" w:line="276" w:before="85" w:after="85"/>
        <w:ind w:hanging="0" w:left="0"/>
        <w:jc w:val="both"/>
        <w:rPr/>
      </w:pPr>
      <w:r>
        <w:rPr>
          <w:rFonts w:cs="Arial" w:ascii="Verdana" w:hAnsi="Verdana"/>
          <w:b/>
          <w:sz w:val="22"/>
          <w:szCs w:val="22"/>
        </w:rPr>
        <w:t>14. DECLARAÇÕES DE VIABILIDADE</w:t>
      </w:r>
    </w:p>
    <w:p>
      <w:pPr>
        <w:pStyle w:val="Normal"/>
        <w:spacing w:lineRule="auto" w:line="276" w:before="85" w:after="85"/>
        <w:ind w:hanging="0" w:left="0"/>
        <w:jc w:val="both"/>
        <w:rPr/>
      </w:pPr>
      <w:r>
        <w:rPr>
          <w:rFonts w:cs="Arial" w:ascii="Verdana" w:hAnsi="Verdana"/>
          <w:sz w:val="22"/>
          <w:szCs w:val="22"/>
        </w:rPr>
        <w:t>14.1. A equipe de planejamento deste ETP e de acordo com a autoridade deste requerente, declara viável esta contratação.</w:t>
      </w:r>
    </w:p>
    <w:p>
      <w:pPr>
        <w:pStyle w:val="Normal"/>
        <w:spacing w:lineRule="auto" w:line="276" w:before="85" w:after="85"/>
        <w:ind w:hanging="0" w:left="0"/>
        <w:jc w:val="both"/>
        <w:rPr>
          <w:rFonts w:ascii="Verdana" w:hAnsi="Verdana"/>
          <w:sz w:val="22"/>
          <w:szCs w:val="22"/>
        </w:rPr>
      </w:pPr>
      <w:r>
        <w:rPr>
          <w:rFonts w:ascii="Verdana" w:hAnsi="Verdana"/>
          <w:sz w:val="22"/>
          <w:szCs w:val="22"/>
        </w:rPr>
      </w:r>
    </w:p>
    <w:p>
      <w:pPr>
        <w:pStyle w:val="Normal"/>
        <w:spacing w:lineRule="auto" w:line="276" w:before="85" w:after="85"/>
        <w:ind w:hanging="0" w:left="0"/>
        <w:jc w:val="both"/>
        <w:rPr/>
      </w:pPr>
      <w:r>
        <w:rPr>
          <w:rFonts w:cs="Arial" w:ascii="Verdana" w:hAnsi="Verdana"/>
          <w:b/>
          <w:bCs/>
          <w:sz w:val="22"/>
          <w:szCs w:val="22"/>
        </w:rPr>
        <w:t>18. JUSTIFICATIVAS DA VIABILIDADE</w:t>
      </w:r>
    </w:p>
    <w:p>
      <w:pPr>
        <w:pStyle w:val="Normal"/>
        <w:spacing w:lineRule="auto" w:line="276" w:before="85" w:after="85"/>
        <w:ind w:hanging="0" w:left="0"/>
        <w:jc w:val="both"/>
        <w:rPr/>
      </w:pPr>
      <w:r>
        <w:rPr>
          <w:rFonts w:cs="Arial" w:ascii="Verdana" w:hAnsi="Verdana"/>
          <w:b w:val="false"/>
          <w:bCs w:val="false"/>
          <w:sz w:val="22"/>
          <w:szCs w:val="22"/>
        </w:rPr>
        <w:t>18.1. Considerando que o objeto em tela trata-se de iniciativa da Secretaria Municipal de Educação no sentido da contratação de empresa especializada, por meio de registro de preços, para a confecção de uniformes dos servidores da Secretaria de Educação, no Município de São Gabriel da Palha.</w:t>
      </w:r>
    </w:p>
    <w:p>
      <w:pPr>
        <w:pStyle w:val="Normal"/>
        <w:spacing w:lineRule="auto" w:line="276" w:before="85" w:after="85"/>
        <w:ind w:hanging="0" w:left="0"/>
        <w:jc w:val="both"/>
        <w:rPr/>
      </w:pPr>
      <w:r>
        <w:rPr>
          <w:rFonts w:eastAsia="Arial" w:cs="Arial" w:ascii="Verdana" w:hAnsi="Verdana"/>
          <w:b w:val="false"/>
          <w:bCs w:val="false"/>
          <w:sz w:val="22"/>
          <w:szCs w:val="22"/>
        </w:rPr>
        <w:t xml:space="preserve">18.2. A aquisição de uniformes tem como objetivo padronizar a identificação dos profissionais da Secretaria de Educação, promovendo organização, segurança e fortalecimento da imagem institucional. Além disso, os uniformes contribuem para a valorização dos servidores, criando um ambiente de trabalho mais profissional e coeso. </w:t>
      </w:r>
    </w:p>
    <w:p>
      <w:pPr>
        <w:pStyle w:val="Normal"/>
        <w:spacing w:lineRule="auto" w:line="276" w:before="85" w:after="85"/>
        <w:ind w:hanging="0" w:left="0"/>
        <w:jc w:val="both"/>
        <w:rPr>
          <w:rFonts w:ascii="Verdana" w:hAnsi="Verdana"/>
          <w:sz w:val="22"/>
          <w:szCs w:val="22"/>
        </w:rPr>
      </w:pPr>
      <w:r>
        <w:rPr>
          <w:rFonts w:ascii="Verdana" w:hAnsi="Verdana"/>
          <w:sz w:val="22"/>
          <w:szCs w:val="22"/>
        </w:rPr>
      </w:r>
    </w:p>
    <w:p>
      <w:pPr>
        <w:pStyle w:val="Normal"/>
        <w:spacing w:lineRule="auto" w:line="276" w:before="85" w:after="85"/>
        <w:ind w:hanging="0" w:left="0" w:right="0"/>
        <w:jc w:val="both"/>
        <w:rPr/>
      </w:pPr>
      <w:r>
        <w:rPr>
          <w:rFonts w:ascii="Verdana" w:hAnsi="Verdana"/>
          <w:b/>
          <w:bCs/>
          <w:sz w:val="22"/>
          <w:szCs w:val="22"/>
        </w:rPr>
        <w:t xml:space="preserve">19. ADEQUAÇÃO ORÇAMENTÁRIA </w:t>
      </w:r>
    </w:p>
    <w:p>
      <w:pPr>
        <w:pStyle w:val="Normal"/>
        <w:spacing w:lineRule="auto" w:line="276" w:before="85" w:after="85"/>
        <w:ind w:hanging="0" w:left="0" w:right="0"/>
        <w:jc w:val="both"/>
        <w:rPr/>
      </w:pPr>
      <w:r>
        <w:rPr>
          <w:rFonts w:ascii="Verdana" w:hAnsi="Verdana"/>
          <w:sz w:val="22"/>
          <w:szCs w:val="22"/>
        </w:rPr>
        <w:t>19.1.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76" w:before="85" w:after="85"/>
        <w:ind w:hanging="0" w:left="0"/>
        <w:jc w:val="both"/>
        <w:rPr>
          <w:rFonts w:ascii="Verdana" w:hAnsi="Verdana"/>
          <w:sz w:val="22"/>
          <w:szCs w:val="22"/>
        </w:rPr>
      </w:pPr>
      <w:r>
        <w:rPr>
          <w:rFonts w:ascii="Verdana" w:hAnsi="Verdana"/>
          <w:sz w:val="22"/>
          <w:szCs w:val="22"/>
        </w:rPr>
      </w:r>
    </w:p>
    <w:p>
      <w:pPr>
        <w:pStyle w:val="Normal"/>
        <w:spacing w:lineRule="auto" w:line="276" w:before="85" w:after="85"/>
        <w:ind w:hanging="0" w:left="0"/>
        <w:jc w:val="both"/>
        <w:rPr/>
      </w:pPr>
      <w:r>
        <w:rPr>
          <w:rFonts w:ascii="Verdana" w:hAnsi="Verdana"/>
          <w:sz w:val="22"/>
          <w:szCs w:val="22"/>
        </w:rPr>
        <w:t>FICHA – FONTE: 00583-15</w:t>
      </w:r>
      <w:r>
        <w:rPr>
          <w:rFonts w:eastAsia="Times New Roman" w:cs="Times New Roman" w:ascii="Verdana" w:hAnsi="Verdana"/>
          <w:color w:val="auto"/>
          <w:kern w:val="0"/>
          <w:sz w:val="22"/>
          <w:szCs w:val="22"/>
          <w:lang w:val="pt-BR" w:eastAsia="pt-BR" w:bidi="ar-SA"/>
        </w:rPr>
        <w:t>000002500000, no valor de R$ 147.000,00 (cento e quarenta e sete mil reais)</w:t>
      </w:r>
    </w:p>
    <w:p>
      <w:pPr>
        <w:pStyle w:val="Normal"/>
        <w:spacing w:lineRule="auto" w:line="276" w:before="85" w:after="85"/>
        <w:ind w:hanging="0" w:left="0"/>
        <w:jc w:val="both"/>
        <w:rPr>
          <w:rFonts w:ascii="Verdana" w:hAnsi="Verdana"/>
          <w:sz w:val="22"/>
          <w:szCs w:val="22"/>
        </w:rPr>
      </w:pPr>
      <w:r>
        <w:rPr>
          <w:rFonts w:ascii="Verdana" w:hAnsi="Verdana"/>
          <w:sz w:val="22"/>
          <w:szCs w:val="22"/>
        </w:rPr>
      </w:r>
    </w:p>
    <w:p>
      <w:pPr>
        <w:pStyle w:val="Normal"/>
        <w:spacing w:lineRule="auto" w:line="276" w:before="85" w:after="85"/>
        <w:ind w:hanging="0" w:left="0"/>
        <w:jc w:val="both"/>
        <w:rPr/>
      </w:pPr>
      <w:r>
        <w:rPr>
          <w:rFonts w:cs="Arial" w:ascii="Verdana" w:hAnsi="Verdana"/>
          <w:b/>
          <w:bCs/>
          <w:color w:val="000000"/>
          <w:sz w:val="22"/>
          <w:szCs w:val="22"/>
        </w:rPr>
        <w:t>20. DOS RESPONSÁVEIS PELA ELABORAÇÃO DO TERMO DE REFERÊNCIA</w:t>
      </w:r>
    </w:p>
    <w:p>
      <w:pPr>
        <w:pStyle w:val="Normal"/>
        <w:spacing w:lineRule="auto" w:line="276" w:before="85" w:after="85"/>
        <w:ind w:hanging="0" w:left="0"/>
        <w:jc w:val="both"/>
        <w:rPr/>
      </w:pPr>
      <w:r>
        <w:rPr>
          <w:rFonts w:cs="Arial" w:ascii="Verdana" w:hAnsi="Verdana"/>
          <w:b w:val="false"/>
          <w:bCs w:val="false"/>
          <w:color w:val="000000"/>
          <w:sz w:val="22"/>
          <w:szCs w:val="22"/>
        </w:rPr>
        <w:t>20.1. A compilação d</w:t>
      </w:r>
      <w:r>
        <w:rPr>
          <w:rFonts w:eastAsia="Times New Roman" w:cs="Arial" w:ascii="Verdana" w:hAnsi="Verdana"/>
          <w:b w:val="false"/>
          <w:bCs w:val="false"/>
          <w:color w:val="000000"/>
          <w:kern w:val="0"/>
          <w:sz w:val="22"/>
          <w:szCs w:val="22"/>
          <w:lang w:val="pt-BR" w:eastAsia="pt-BR" w:bidi="ar-SA"/>
        </w:rPr>
        <w:t>e parte das</w:t>
      </w:r>
      <w:r>
        <w:rPr>
          <w:rFonts w:cs="Arial" w:ascii="Verdana" w:hAnsi="Verdana"/>
          <w:b w:val="false"/>
          <w:bCs w:val="false"/>
          <w:color w:val="000000"/>
          <w:sz w:val="22"/>
          <w:szCs w:val="22"/>
        </w:rPr>
        <w:t xml:space="preserve"> informações mencionados </w:t>
      </w:r>
      <w:r>
        <w:rPr>
          <w:rFonts w:eastAsia="Times New Roman" w:cs="Arial" w:ascii="Verdana" w:hAnsi="Verdana"/>
          <w:b w:val="false"/>
          <w:bCs w:val="false"/>
          <w:color w:val="000000"/>
          <w:kern w:val="0"/>
          <w:sz w:val="22"/>
          <w:szCs w:val="22"/>
          <w:lang w:val="pt-BR" w:eastAsia="pt-BR" w:bidi="ar-SA"/>
        </w:rPr>
        <w:t>na</w:t>
      </w:r>
      <w:r>
        <w:rPr>
          <w:rFonts w:cs="Arial" w:ascii="Verdana" w:hAnsi="Verdana"/>
          <w:b w:val="false"/>
          <w:bCs w:val="false"/>
          <w:color w:val="000000"/>
          <w:sz w:val="22"/>
          <w:szCs w:val="22"/>
        </w:rPr>
        <w:t xml:space="preserve"> elaboração deste Termo de Referência foram estruturadas através do ETP – Estudo Técnico Preliminar elaborado pela secretaria requisitante.</w:t>
      </w:r>
    </w:p>
    <w:p>
      <w:pPr>
        <w:pStyle w:val="Normal"/>
        <w:spacing w:lineRule="auto" w:line="360"/>
        <w:jc w:val="both"/>
        <w:rPr>
          <w:rFonts w:ascii="Verdana" w:hAnsi="Verdana"/>
          <w:sz w:val="22"/>
          <w:szCs w:val="22"/>
        </w:rPr>
      </w:pPr>
      <w:r>
        <w:rPr>
          <w:rFonts w:ascii="Verdana" w:hAnsi="Verdana"/>
          <w:sz w:val="22"/>
          <w:szCs w:val="22"/>
        </w:rPr>
      </w:r>
    </w:p>
    <w:p>
      <w:pPr>
        <w:pStyle w:val="Normal"/>
        <w:spacing w:lineRule="auto" w:line="360"/>
        <w:jc w:val="right"/>
        <w:rPr>
          <w:rFonts w:ascii="Verdana" w:hAnsi="Verdana"/>
          <w:sz w:val="22"/>
          <w:szCs w:val="22"/>
        </w:rPr>
      </w:pPr>
      <w:r>
        <w:rPr>
          <w:rFonts w:ascii="Verdana" w:hAnsi="Verdana"/>
          <w:sz w:val="22"/>
          <w:szCs w:val="22"/>
          <w:shd w:fill="auto" w:val="clear"/>
        </w:rPr>
        <w:t>São Gabriel da Palha, 29 de</w:t>
      </w:r>
      <w:r>
        <w:rPr>
          <w:rFonts w:eastAsia="Times New Roman" w:cs="Times New Roman" w:ascii="Verdana" w:hAnsi="Verdana"/>
          <w:color w:val="000000"/>
          <w:kern w:val="0"/>
          <w:sz w:val="22"/>
          <w:szCs w:val="22"/>
          <w:shd w:fill="auto" w:val="clear"/>
          <w:lang w:val="pt-BR" w:eastAsia="pt-BR" w:bidi="ar-SA"/>
        </w:rPr>
        <w:t xml:space="preserve"> maio </w:t>
      </w:r>
      <w:r>
        <w:rPr>
          <w:rFonts w:ascii="Verdana" w:hAnsi="Verdana"/>
          <w:sz w:val="22"/>
          <w:szCs w:val="22"/>
          <w:shd w:fill="auto" w:val="clear"/>
        </w:rPr>
        <w:t>de 2025</w:t>
      </w:r>
    </w:p>
    <w:p>
      <w:pPr>
        <w:pStyle w:val="Normal"/>
        <w:spacing w:lineRule="auto" w:line="360"/>
        <w:jc w:val="both"/>
        <w:rPr>
          <w:rFonts w:ascii="Verdana" w:hAnsi="Verdana"/>
          <w:sz w:val="22"/>
          <w:szCs w:val="22"/>
        </w:rPr>
      </w:pPr>
      <w:bookmarkStart w:id="0" w:name="_GoBack1"/>
      <w:bookmarkStart w:id="1" w:name="_GoBack"/>
      <w:bookmarkEnd w:id="0"/>
      <w:bookmarkEnd w:id="1"/>
      <w:r>
        <w:rPr>
          <w:rFonts w:cs="Arial" w:ascii="Verdana" w:hAnsi="Verdana"/>
          <w:b/>
          <w:bCs/>
          <w:sz w:val="22"/>
          <w:szCs w:val="22"/>
        </w:rPr>
        <w:t>Elaborado por:</w:t>
      </w:r>
    </w:p>
    <w:p>
      <w:pPr>
        <w:pStyle w:val="Normal"/>
        <w:spacing w:lineRule="auto" w:line="360"/>
        <w:jc w:val="both"/>
        <w:rPr>
          <w:rFonts w:ascii="Verdana" w:hAnsi="Verdana" w:cs="Arial"/>
          <w:b/>
          <w:bCs/>
          <w:sz w:val="22"/>
          <w:szCs w:val="22"/>
        </w:rPr>
      </w:pPr>
      <w:r>
        <w:rPr>
          <w:rFonts w:cs="Arial" w:ascii="Verdana" w:hAnsi="Verdana"/>
          <w:b/>
          <w:bCs/>
          <w:sz w:val="22"/>
          <w:szCs w:val="22"/>
        </w:rPr>
      </w:r>
    </w:p>
    <w:p>
      <w:pPr>
        <w:pStyle w:val="Normal"/>
        <w:spacing w:lineRule="auto" w:line="240"/>
        <w:rPr>
          <w:rFonts w:ascii="Verdana" w:hAnsi="Verdana"/>
          <w:sz w:val="20"/>
          <w:szCs w:val="20"/>
        </w:rPr>
      </w:pPr>
      <w:r>
        <w:rPr>
          <w:rFonts w:ascii="Verdana" w:hAnsi="Verdana"/>
          <w:sz w:val="20"/>
          <w:szCs w:val="20"/>
        </w:rPr>
        <w:t>RODOLFO ANTÔNIO DA SILVA NETO</w:t>
      </w:r>
    </w:p>
    <w:p>
      <w:pPr>
        <w:pStyle w:val="Normal"/>
        <w:spacing w:lineRule="auto" w:line="240"/>
        <w:rPr>
          <w:rFonts w:ascii="Verdana" w:hAnsi="Verdana"/>
          <w:sz w:val="20"/>
          <w:szCs w:val="20"/>
        </w:rPr>
      </w:pPr>
      <w:r>
        <w:rPr>
          <w:rFonts w:ascii="Verdana" w:hAnsi="Verdana"/>
          <w:sz w:val="20"/>
          <w:szCs w:val="20"/>
        </w:rPr>
        <w:t>Agente de Serviços Técnicos – Portaria n° 9.965/2025</w:t>
      </w:r>
    </w:p>
    <w:p>
      <w:pPr>
        <w:pStyle w:val="Normal"/>
        <w:spacing w:lineRule="auto" w:line="240"/>
        <w:jc w:val="both"/>
        <w:rPr>
          <w:rFonts w:ascii="Verdana" w:hAnsi="Verdana"/>
          <w:sz w:val="20"/>
          <w:szCs w:val="20"/>
        </w:rPr>
      </w:pPr>
      <w:r>
        <w:rPr>
          <w:rFonts w:cs="Arial" w:ascii="Verdana" w:hAnsi="Verdana"/>
          <w:b w:val="false"/>
          <w:bCs w:val="false"/>
          <w:sz w:val="20"/>
          <w:szCs w:val="20"/>
        </w:rPr>
        <w:t>Mat. nº 000406</w:t>
      </w:r>
    </w:p>
    <w:p>
      <w:pPr>
        <w:pStyle w:val="Normal"/>
        <w:spacing w:lineRule="auto" w:line="240"/>
        <w:jc w:val="both"/>
        <w:rPr>
          <w:rFonts w:cs="Arial"/>
          <w:b w:val="false"/>
          <w:bCs w:val="false"/>
        </w:rPr>
      </w:pPr>
      <w:r>
        <w:rPr>
          <w:rFonts w:ascii="Verdana" w:hAnsi="Verdana"/>
          <w:sz w:val="20"/>
          <w:szCs w:val="20"/>
        </w:rPr>
      </w:r>
    </w:p>
    <w:p>
      <w:pPr>
        <w:pStyle w:val="Normal"/>
        <w:spacing w:lineRule="auto" w:line="240"/>
        <w:jc w:val="both"/>
        <w:rPr>
          <w:rFonts w:cs="Arial"/>
          <w:b w:val="false"/>
          <w:bCs w:val="false"/>
        </w:rPr>
      </w:pPr>
      <w:r>
        <w:rPr>
          <w:rFonts w:ascii="Verdana" w:hAnsi="Verdana"/>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sz w:val="20"/>
          <w:szCs w:val="20"/>
        </w:rPr>
      </w:pPr>
      <w:r>
        <w:rPr>
          <w:rFonts w:cs="Arial" w:ascii="Verdana" w:hAnsi="Verdana"/>
          <w:b w:val="false"/>
          <w:bCs w:val="false"/>
          <w:sz w:val="20"/>
          <w:szCs w:val="20"/>
        </w:rPr>
        <w:t>RUTH BARBARA DA SILWA NASCIMENTO</w:t>
      </w:r>
    </w:p>
    <w:p>
      <w:pPr>
        <w:pStyle w:val="Normal"/>
        <w:spacing w:lineRule="auto" w:line="240"/>
        <w:jc w:val="both"/>
        <w:rPr>
          <w:rFonts w:ascii="Verdana" w:hAnsi="Verdana"/>
          <w:sz w:val="20"/>
          <w:szCs w:val="20"/>
        </w:rPr>
      </w:pPr>
      <w:r>
        <w:rPr>
          <w:rFonts w:cs="Arial" w:ascii="Verdana" w:hAnsi="Verdana"/>
          <w:b w:val="false"/>
          <w:bCs w:val="false"/>
          <w:sz w:val="20"/>
          <w:szCs w:val="20"/>
        </w:rPr>
        <w:t>Agente de Serviços Técnicos - Decreto n° 4.816/2025.</w:t>
      </w:r>
    </w:p>
    <w:p>
      <w:pPr>
        <w:pStyle w:val="Normal"/>
        <w:spacing w:lineRule="auto" w:line="240"/>
        <w:jc w:val="both"/>
        <w:rPr>
          <w:rFonts w:ascii="Verdana" w:hAnsi="Verdana"/>
          <w:sz w:val="20"/>
          <w:szCs w:val="20"/>
        </w:rPr>
      </w:pPr>
      <w:r>
        <w:rPr>
          <w:rFonts w:ascii="Verdana" w:hAnsi="Verdana"/>
          <w:sz w:val="20"/>
          <w:szCs w:val="20"/>
        </w:rPr>
        <w:t>Mat. nº 002983</w:t>
      </w:r>
    </w:p>
    <w:p>
      <w:pPr>
        <w:pStyle w:val="Normal"/>
        <w:spacing w:lineRule="auto" w:line="240"/>
        <w:jc w:val="both"/>
        <w:rPr>
          <w:rFonts w:ascii="Verdana" w:hAnsi="Verdana"/>
          <w:sz w:val="20"/>
          <w:szCs w:val="20"/>
        </w:rPr>
      </w:pPr>
      <w:r>
        <w:rPr>
          <w:rFonts w:ascii="Verdana" w:hAnsi="Verdana"/>
          <w:sz w:val="20"/>
          <w:szCs w:val="20"/>
        </w:rPr>
      </w:r>
      <w:bookmarkStart w:id="2" w:name="art122%252525252525252525252525252525252"/>
      <w:bookmarkStart w:id="3" w:name="art122%252525252525252525252525252525252"/>
      <w:bookmarkEnd w:id="3"/>
    </w:p>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517" w:right="905" w:gutter="0" w:header="227" w:top="851" w:footer="339" w:bottom="778"/>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Courier New">
    <w:charset w:val="00"/>
    <w:family w:val="roman"/>
    <w:pitch w:val="variable"/>
  </w:font>
  <w:font w:name="Verdana">
    <w:charset w:val="00"/>
    <w:family w:val="roman"/>
    <w:pitch w:val="variable"/>
  </w:font>
  <w:font w:name="Verdana">
    <w:charset w:val="01"/>
    <w:family w:val="swiss"/>
    <w:pitch w:val="variable"/>
  </w:font>
  <w:font w:name="Arial Narrow">
    <w:charset w:val="00"/>
    <w:family w:val="roman"/>
    <w:pitch w:val="variable"/>
  </w:font>
  <w:font w:name="Tahoma">
    <w:charset w:val="00"/>
    <w:family w:val="roma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75"/>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paragraph" w:styleId="Heading2">
    <w:name w:val="Heading 2"/>
    <w:basedOn w:val="LO-normal"/>
    <w:next w:val="LO-normal"/>
    <w:qFormat/>
    <w:pPr>
      <w:keepNext w:val="true"/>
      <w:keepLines/>
      <w:spacing w:lineRule="auto" w:line="360" w:before="240" w:after="240"/>
      <w:jc w:val="both"/>
    </w:pPr>
    <w:rPr>
      <w:b/>
    </w:rPr>
  </w:style>
  <w:style w:type="paragraph" w:styleId="Heading3">
    <w:name w:val="Heading 3"/>
    <w:basedOn w:val="LO-normal"/>
    <w:next w:val="LO-normal"/>
    <w:qFormat/>
    <w:pPr>
      <w:keepNext w:val="true"/>
      <w:keepLines/>
    </w:pPr>
    <w:rPr>
      <w:i/>
    </w:rPr>
  </w:style>
  <w:style w:type="paragraph" w:styleId="Heading4">
    <w:name w:val="Heading 4"/>
    <w:basedOn w:val="Ttulo"/>
    <w:next w:val="BodyText"/>
    <w:qFormat/>
    <w:pPr>
      <w:numPr>
        <w:ilvl w:val="3"/>
        <w:numId w:val="1"/>
      </w:numPr>
      <w:spacing w:before="120" w:after="120"/>
      <w:outlineLvl w:val="3"/>
    </w:pPr>
    <w:rPr>
      <w:b/>
      <w:bCs/>
      <w:i/>
      <w:iCs/>
      <w:sz w:val="26"/>
      <w:szCs w:val="26"/>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InternetLink">
    <w:name w:val="Internet Link"/>
    <w:qFormat/>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FollowedHyperlink">
    <w:name w:val="FollowedHyperlink"/>
    <w:rPr>
      <w:color w:val="800080"/>
      <w:u w:val="single"/>
    </w:rPr>
  </w:style>
  <w:style w:type="character" w:styleId="WW8Num9z0">
    <w:name w:val="WW8Num9z0"/>
    <w:qFormat/>
    <w:rPr>
      <w:b/>
      <w:bCs/>
    </w:rPr>
  </w:style>
  <w:style w:type="character" w:styleId="WW8Num10z0">
    <w:name w:val="WW8Num10z0"/>
    <w:qFormat/>
    <w:rPr>
      <w:b/>
      <w:bCs/>
    </w:rPr>
  </w:style>
  <w:style w:type="character" w:styleId="Hyperlink1">
    <w:name w:val="Hyper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overflowPunct w:val="fals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widowControl w:val="false"/>
      <w:suppressLineNumbers/>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 w:val="24"/>
      <w:szCs w:val="24"/>
    </w:rPr>
  </w:style>
  <w:style w:type="paragraph" w:styleId="LO-normal">
    <w:name w:val="LO-normal"/>
    <w:qFormat/>
    <w:pPr>
      <w:widowControl/>
      <w:suppressAutoHyphens w:val="true"/>
      <w:bidi w:val="0"/>
      <w:spacing w:lineRule="auto" w:line="360" w:before="240" w:after="240"/>
      <w:jc w:val="both"/>
    </w:pPr>
    <w:rPr>
      <w:rFonts w:ascii="Arial" w:hAnsi="Arial" w:eastAsia="Arial" w:cs="DejaVu Sans" w:asciiTheme="minorHAnsi" w:cstheme="minorBidi" w:eastAsiaTheme="minorHAnsi" w:hAnsiTheme="minorHAnsi"/>
      <w:color w:val="auto"/>
      <w:kern w:val="0"/>
      <w:sz w:val="22"/>
      <w:szCs w:val="22"/>
      <w:lang w:val="pt-BR" w:eastAsia="en-US" w:bidi="ar-SA"/>
    </w:rPr>
  </w:style>
  <w:style w:type="paragraph" w:styleId="WW-Textosimples">
    <w:name w:val="WW-Texto simples"/>
    <w:basedOn w:val="Normal"/>
    <w:qFormat/>
    <w:pPr/>
    <w:rPr>
      <w:rFonts w:ascii="Courier New" w:hAnsi="Courier New" w:cs="Courier New"/>
      <w:sz w:val="20"/>
    </w:rPr>
  </w:style>
  <w:style w:type="paragraph" w:styleId="Contedodoquadro">
    <w:name w:val="Conteúdo do quadro"/>
    <w:basedOn w:val="Normal"/>
    <w:qFormat/>
    <w:pPr/>
    <w:rPr/>
  </w:style>
  <w:style w:type="paragraph" w:styleId="normal1">
    <w:name w:val="normal1"/>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numbering" w:styleId="Semlista">
    <w:name w:val="Sem lista"/>
    <w:qFormat/>
  </w:style>
  <w:style w:type="numbering" w:styleId="WW8Num10">
    <w:name w:val="WW8Num10"/>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840</TotalTime>
  <Application>LibreOffice/24.2.6.2$Windows_X86_64 LibreOffice_project/ef66aa7e36a1bb8e65bfbc63aba53045a14d0871</Application>
  <AppVersion>15.0000</AppVersion>
  <Pages>19</Pages>
  <Words>6505</Words>
  <Characters>35999</Characters>
  <CharactersWithSpaces>42170</CharactersWithSpaces>
  <Paragraphs>404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2025-03-27T12:04:13Z</cp:lastPrinted>
  <dcterms:modified xsi:type="dcterms:W3CDTF">2025-06-09T14:48:07Z</dcterms:modified>
  <cp:revision>144</cp:revision>
  <dc:subject/>
  <dc:title/>
</cp:coreProperties>
</file>

<file path=docProps/custom.xml><?xml version="1.0" encoding="utf-8"?>
<Properties xmlns="http://schemas.openxmlformats.org/officeDocument/2006/custom-properties" xmlns:vt="http://schemas.openxmlformats.org/officeDocument/2006/docPropsVTypes"/>
</file>